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pomontażowych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02177A" w:rsidRPr="006C220B" w:rsidRDefault="000869A4" w:rsidP="005452DA">
      <w:pPr>
        <w:ind w:left="0" w:firstLine="0"/>
        <w:rPr>
          <w:rFonts w:cs="Calibri"/>
          <w:b/>
          <w:sz w:val="22"/>
          <w:szCs w:val="22"/>
        </w:rPr>
      </w:pPr>
      <w:r w:rsidRPr="00DB1C56">
        <w:rPr>
          <w:rFonts w:ascii="Calibri" w:hAnsi="Calibri" w:cs="Calibri"/>
          <w:sz w:val="22"/>
          <w:szCs w:val="22"/>
        </w:rPr>
        <w:t>Wyko</w:t>
      </w:r>
      <w:r w:rsidR="006C220B" w:rsidRPr="00DB1C56">
        <w:rPr>
          <w:rFonts w:ascii="Calibri" w:hAnsi="Calibri" w:cs="Calibri"/>
          <w:sz w:val="22"/>
          <w:szCs w:val="22"/>
        </w:rPr>
        <w:t xml:space="preserve">nanie dokumentacji projektowej </w:t>
      </w:r>
      <w:r w:rsidRPr="00DB1C56">
        <w:rPr>
          <w:rFonts w:ascii="Calibri" w:hAnsi="Calibri" w:cs="Calibri"/>
          <w:sz w:val="22"/>
          <w:szCs w:val="22"/>
        </w:rPr>
        <w:t xml:space="preserve">oraz wymianę istniejącej linii napowietrznej nn wraz przyłączami  </w:t>
      </w:r>
      <w:r w:rsidR="00530834" w:rsidRPr="00DB1C56">
        <w:rPr>
          <w:rFonts w:ascii="Calibri" w:hAnsi="Calibri" w:cs="Calibri"/>
          <w:sz w:val="22"/>
          <w:szCs w:val="22"/>
        </w:rPr>
        <w:t xml:space="preserve">na </w:t>
      </w:r>
      <w:r w:rsidRPr="00DB1C56">
        <w:rPr>
          <w:rFonts w:ascii="Calibri" w:hAnsi="Calibri" w:cs="Calibri"/>
          <w:sz w:val="22"/>
          <w:szCs w:val="22"/>
        </w:rPr>
        <w:t xml:space="preserve">terenie Rejonu Energetycznego </w:t>
      </w:r>
      <w:r w:rsidR="00DB1C56" w:rsidRPr="00DB1C56">
        <w:rPr>
          <w:rFonts w:ascii="Calibri" w:hAnsi="Calibri" w:cs="Calibri"/>
          <w:sz w:val="22"/>
          <w:szCs w:val="22"/>
        </w:rPr>
        <w:t xml:space="preserve">Bełchatów </w:t>
      </w:r>
      <w:r w:rsidR="006C220B" w:rsidRPr="00DB1C56">
        <w:rPr>
          <w:rFonts w:ascii="Calibri" w:hAnsi="Calibri" w:cs="Calibri"/>
          <w:sz w:val="22"/>
          <w:szCs w:val="22"/>
        </w:rPr>
        <w:t xml:space="preserve"> – obręb stacji </w:t>
      </w:r>
      <w:r w:rsidR="00EB14D2" w:rsidRPr="00EB14D2">
        <w:rPr>
          <w:rFonts w:ascii="Calibri" w:hAnsi="Calibri" w:cs="Calibri"/>
          <w:sz w:val="22"/>
          <w:szCs w:val="22"/>
        </w:rPr>
        <w:t>Skomlin MBM 7-0522 gm. Skomlin</w:t>
      </w:r>
      <w:bookmarkStart w:id="1" w:name="_GoBack"/>
      <w:bookmarkEnd w:id="1"/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(t.j. Dz. U. z 2024 r. poz. 725 z późn.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/AsXSn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YADYn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YADYn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AsXSn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na AsXSn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>tanowiska słupowego przewodem As</w:t>
      </w:r>
      <w:r w:rsidRPr="000C4053">
        <w:rPr>
          <w:rFonts w:ascii="Calibri" w:hAnsi="Calibri" w:cs="Calibri"/>
          <w:sz w:val="22"/>
          <w:szCs w:val="22"/>
        </w:rPr>
        <w:t>XSn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2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2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3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3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stacyjnych, wymiana reklozerów,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B1C56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10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wyłączeń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r w:rsidR="00F763F1">
        <w:rPr>
          <w:color w:val="000000" w:themeColor="text1"/>
          <w:lang w:val="pl-PL"/>
        </w:rPr>
        <w:t>nn</w:t>
      </w:r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>i wykonywania prac pod napięciem w sieci dystrybucyjnej o napięciu do 1 kV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r w:rsidR="00920C89" w:rsidRPr="0097238F">
        <w:rPr>
          <w:color w:val="000000" w:themeColor="text1"/>
        </w:rPr>
        <w:t xml:space="preserve"> do organizacji prac z wykorzystaniem systemu samod</w:t>
      </w:r>
      <w:r w:rsidR="00920C89" w:rsidRPr="0097238F">
        <w:rPr>
          <w:color w:val="000000" w:themeColor="text1"/>
          <w:lang w:val="pl-PL"/>
        </w:rPr>
        <w:t>o</w:t>
      </w:r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>prowadzenia prac przez firmy zewnętrzne w systemie samodopuszczeń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-klienta/Przydatne-dokumenty</w:t>
        </w:r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-klienta/przydatne-dokumenty</w:t>
        </w:r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pomontażowych: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</w:p>
    <w:p w:rsidR="00682531" w:rsidRPr="00683C0A" w:rsidRDefault="00682531" w:rsidP="006C220B">
      <w:pPr>
        <w:ind w:left="1701" w:hanging="1344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9B2" w:rsidRDefault="007D29B2">
      <w:r>
        <w:separator/>
      </w:r>
    </w:p>
  </w:endnote>
  <w:endnote w:type="continuationSeparator" w:id="0">
    <w:p w:rsidR="007D29B2" w:rsidRDefault="007D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29B2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9B2" w:rsidRDefault="007D29B2">
      <w:r>
        <w:separator/>
      </w:r>
    </w:p>
  </w:footnote>
  <w:footnote w:type="continuationSeparator" w:id="0">
    <w:p w:rsidR="007D29B2" w:rsidRDefault="007D2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198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2987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A4E1F7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1.3. cz.4.docx</dmsv2BaseFileName>
    <dmsv2BaseDisplayName xmlns="http://schemas.microsoft.com/sharepoint/v3">Załącznik nr 1.3. cz.4</dmsv2BaseDisplayName>
    <dmsv2SWPP2ObjectNumber xmlns="http://schemas.microsoft.com/sharepoint/v3">POST/DYS/OLD/GZ/02045/2025                        </dmsv2SWPP2ObjectNumber>
    <dmsv2SWPP2SumMD5 xmlns="http://schemas.microsoft.com/sharepoint/v3">df9c87f74c96392e2f93ddfa26cdc9c6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22572104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M37YNRNYPV7A-513987650-2892</_dlc_DocId>
    <_dlc_DocIdUrl xmlns="a19cb1c7-c5c7-46d4-85ae-d83685407bba">
      <Url>https://swpp2.dms.gkpge.pl/sites/37/_layouts/15/DocIdRedir.aspx?ID=M37YNRNYPV7A-513987650-2892</Url>
      <Description>M37YNRNYPV7A-513987650-2892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1D1AD7-C1C5-4C05-8A71-21C52650F88F}"/>
</file>

<file path=customXml/itemProps5.xml><?xml version="1.0" encoding="utf-8"?>
<ds:datastoreItem xmlns:ds="http://schemas.openxmlformats.org/officeDocument/2006/customXml" ds:itemID="{5479F588-8DB4-471B-B91A-A4F1EE93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1850</Words>
  <Characters>11103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Zajdler Maciej [PGE Dystr. O.Łódź]</cp:lastModifiedBy>
  <cp:revision>14</cp:revision>
  <cp:lastPrinted>2011-10-20T15:55:00Z</cp:lastPrinted>
  <dcterms:created xsi:type="dcterms:W3CDTF">2025-05-06T07:42:00Z</dcterms:created>
  <dcterms:modified xsi:type="dcterms:W3CDTF">2025-05-08T10:01:00Z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c12b8f90-deb8-41e5-9ca6-c6474602008d</vt:lpwstr>
  </property>
</Properties>
</file>