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w:t>
      </w:r>
      <w:r w:rsidRPr="00B97173">
        <w:rPr>
          <w:rFonts w:cs="Arial"/>
          <w:sz w:val="19"/>
          <w:szCs w:val="19"/>
        </w:rPr>
        <w:lastRenderedPageBreak/>
        <w:t xml:space="preserve">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w:t>
      </w:r>
      <w:r w:rsidRPr="00441A07">
        <w:rPr>
          <w:szCs w:val="18"/>
        </w:rPr>
        <w:lastRenderedPageBreak/>
        <w:t xml:space="preserve">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xml:space="preserve">– w rozumieniu ustawy z dnia 8 marca 2013 r. o przeciwdziałaniu nadmiernym opóźnieniom </w:t>
      </w:r>
      <w:r w:rsidRPr="002948D9">
        <w:rPr>
          <w:rFonts w:ascii="Arial" w:hAnsi="Arial" w:cs="Arial"/>
          <w:sz w:val="19"/>
          <w:szCs w:val="19"/>
        </w:rPr>
        <w:lastRenderedPageBreak/>
        <w:t>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POST/DYS/OLD/GZ/02043/2025                        </dmsv2SWPP2ObjectNumber>
    <dmsv2SWPP2SumMD5 xmlns="http://schemas.microsoft.com/sharepoint/v3">51fa1a565e6dc627a8ead2e94dde15e7</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22573123</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M37YNRNYPV7A-513987650-3652</_dlc_DocId>
    <_dlc_DocIdUrl xmlns="a19cb1c7-c5c7-46d4-85ae-d83685407bba">
      <Url>https://swpp2.dms.gkpge.pl/sites/37/_layouts/15/DocIdRedir.aspx?ID=M37YNRNYPV7A-513987650-3652</Url>
      <Description>M37YNRNYPV7A-513987650-3652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05B4210A-458E-41B9-8947-D4265545891B}"/>
</file>

<file path=customXml/itemProps3.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F7D4DA8-9FEF-42C2-8D47-A2E143EF94B8}"/>
</file>

<file path=docProps/app.xml><?xml version="1.0" encoding="utf-8"?>
<Properties xmlns="http://schemas.openxmlformats.org/officeDocument/2006/extended-properties" xmlns:vt="http://schemas.openxmlformats.org/officeDocument/2006/docPropsVTypes">
  <Template>Normal</Template>
  <TotalTime>1</TotalTime>
  <Pages>27</Pages>
  <Words>22209</Words>
  <Characters>133260</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Kozyra Małgorzata [PGE S.A.]</cp:lastModifiedBy>
  <cp:revision>2</cp:revision>
  <cp:lastPrinted>2024-09-05T12:02:00Z</cp:lastPrinted>
  <dcterms:created xsi:type="dcterms:W3CDTF">2025-05-07T08:43:00Z</dcterms:created>
  <dcterms:modified xsi:type="dcterms:W3CDTF">2025-05-07T08:43:00Z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ocset_NoMedatataSyncRequired">
    <vt:lpwstr>False</vt:lpwstr>
  </property>
  <property fmtid="{D5CDD505-2E9C-101B-9397-08002B2CF9AE}" pid="4" name="_dlc_DocIdItemGuid">
    <vt:lpwstr>02e64d08-a740-4949-bce8-f994b7bb88f3</vt:lpwstr>
  </property>
</Properties>
</file>