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5DB5DF52"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544C0F">
        <w:rPr>
          <w:rFonts w:ascii="Arial" w:hAnsi="Arial" w:cs="Arial"/>
          <w:b/>
          <w:i/>
          <w:sz w:val="22"/>
          <w:szCs w:val="22"/>
        </w:rPr>
        <w:t>5</w:t>
      </w:r>
      <w:bookmarkStart w:id="0" w:name="_GoBack"/>
      <w:bookmarkEnd w:id="0"/>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1" w:name="_Ref333785670"/>
    </w:p>
    <w:bookmarkEnd w:id="1"/>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2" w:name="_Ref333793025"/>
    </w:p>
    <w:bookmarkEnd w:id="2"/>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3"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3FDD6F4" w:rsidR="00971000" w:rsidRDefault="00AC48CB" w:rsidP="00E16C18">
      <w:pPr>
        <w:pStyle w:val="mylniki"/>
        <w:numPr>
          <w:ilvl w:val="0"/>
          <w:numId w:val="43"/>
        </w:numPr>
      </w:pPr>
      <w:r w:rsidRPr="00281145">
        <w:t xml:space="preserve">do </w:t>
      </w:r>
      <w:r w:rsidR="002C7F5F">
        <w:rPr>
          <w:b/>
        </w:rPr>
        <w:t>60</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1C2C3884" w:rsidR="00971000" w:rsidRPr="00281145" w:rsidRDefault="004A37A6" w:rsidP="00E16C18">
      <w:pPr>
        <w:pStyle w:val="mylniki"/>
        <w:numPr>
          <w:ilvl w:val="0"/>
          <w:numId w:val="43"/>
        </w:numPr>
      </w:pPr>
      <w:r w:rsidRPr="00281145">
        <w:t xml:space="preserve">do </w:t>
      </w:r>
      <w:r w:rsidR="002C7F5F" w:rsidRPr="00971000">
        <w:rPr>
          <w:b/>
        </w:rPr>
        <w:t>7</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5804A90C" w:rsidR="00971000" w:rsidRPr="00971000" w:rsidRDefault="00CF3334" w:rsidP="00E16C18">
      <w:pPr>
        <w:pStyle w:val="mylniki"/>
        <w:numPr>
          <w:ilvl w:val="0"/>
          <w:numId w:val="43"/>
        </w:numPr>
        <w:rPr>
          <w:szCs w:val="20"/>
        </w:rPr>
      </w:pPr>
      <w:r w:rsidRPr="00281145">
        <w:t xml:space="preserve">do </w:t>
      </w:r>
      <w:r w:rsidR="002C7F5F" w:rsidRPr="00CE494A">
        <w:rPr>
          <w:b/>
        </w:rPr>
        <w:t>70</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45D62965" w:rsidR="00971000" w:rsidRPr="00281145" w:rsidRDefault="00CF3334" w:rsidP="00E16C18">
      <w:pPr>
        <w:pStyle w:val="mylniki"/>
        <w:numPr>
          <w:ilvl w:val="0"/>
          <w:numId w:val="43"/>
        </w:numPr>
      </w:pPr>
      <w:r w:rsidRPr="00281145">
        <w:t xml:space="preserve">do </w:t>
      </w:r>
      <w:r w:rsidR="002C7F5F" w:rsidRPr="00CE494A">
        <w:rPr>
          <w:b/>
        </w:rPr>
        <w:t>11</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43FEE115" w:rsidR="00971000" w:rsidRPr="00281145" w:rsidRDefault="00E12D25" w:rsidP="00E16C18">
      <w:pPr>
        <w:pStyle w:val="mylniki"/>
        <w:numPr>
          <w:ilvl w:val="0"/>
          <w:numId w:val="43"/>
        </w:numPr>
      </w:pPr>
      <w:r w:rsidRPr="00281145">
        <w:t xml:space="preserve">do </w:t>
      </w:r>
      <w:r w:rsidR="002C7F5F" w:rsidRPr="00CE494A">
        <w:rPr>
          <w:b/>
        </w:rPr>
        <w:t>12</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40DB0DB" w:rsidR="00971000" w:rsidRPr="00281145" w:rsidRDefault="00CF3334" w:rsidP="00E16C18">
      <w:pPr>
        <w:pStyle w:val="mylniki"/>
        <w:numPr>
          <w:ilvl w:val="0"/>
          <w:numId w:val="43"/>
        </w:numPr>
      </w:pPr>
      <w:r w:rsidRPr="00281145">
        <w:t xml:space="preserve">do </w:t>
      </w:r>
      <w:r w:rsidR="002C7F5F" w:rsidRPr="00CE494A">
        <w:rPr>
          <w:b/>
        </w:rPr>
        <w:t>22</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3C468D50" w:rsidR="00971000" w:rsidRPr="00971000" w:rsidRDefault="004A37A6" w:rsidP="00E16C18">
      <w:pPr>
        <w:pStyle w:val="mylniki"/>
        <w:numPr>
          <w:ilvl w:val="0"/>
          <w:numId w:val="43"/>
        </w:numPr>
        <w:rPr>
          <w:szCs w:val="20"/>
        </w:rPr>
      </w:pPr>
      <w:r w:rsidRPr="00281145">
        <w:t xml:space="preserve">do </w:t>
      </w:r>
      <w:r w:rsidR="002C7F5F" w:rsidRPr="00CE494A">
        <w:rPr>
          <w:b/>
        </w:rPr>
        <w:t>11</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79A80209" w:rsidR="00971000" w:rsidRPr="00281145" w:rsidRDefault="00E12D25" w:rsidP="00E16C18">
      <w:pPr>
        <w:pStyle w:val="mylniki"/>
        <w:numPr>
          <w:ilvl w:val="0"/>
          <w:numId w:val="43"/>
        </w:numPr>
      </w:pPr>
      <w:r w:rsidRPr="00281145">
        <w:t xml:space="preserve">do </w:t>
      </w:r>
      <w:r w:rsidR="002C7F5F" w:rsidRPr="00CE494A">
        <w:rPr>
          <w:b/>
        </w:rPr>
        <w:t>16</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3D631A84" w:rsidR="00971000" w:rsidRPr="00281145" w:rsidRDefault="00E12D25" w:rsidP="00E16C18">
      <w:pPr>
        <w:pStyle w:val="mylniki"/>
        <w:numPr>
          <w:ilvl w:val="0"/>
          <w:numId w:val="43"/>
        </w:numPr>
      </w:pPr>
      <w:r w:rsidRPr="00281145">
        <w:t xml:space="preserve">do </w:t>
      </w:r>
      <w:r w:rsidR="002C7F5F" w:rsidRPr="00CE494A">
        <w:rPr>
          <w:b/>
        </w:rPr>
        <w:t>18</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77777777" w:rsidR="00AC48CB" w:rsidRPr="00281145" w:rsidRDefault="00AC48CB" w:rsidP="00E16C18">
      <w:pPr>
        <w:pStyle w:val="mylniki"/>
        <w:numPr>
          <w:ilvl w:val="0"/>
          <w:numId w:val="43"/>
        </w:numPr>
      </w:pPr>
      <w:r w:rsidRPr="00281145">
        <w:t xml:space="preserve">do </w:t>
      </w:r>
      <w:r w:rsidR="002C7F5F" w:rsidRPr="00CE494A">
        <w:rPr>
          <w:b/>
        </w:rPr>
        <w:t>28</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3"/>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4F9C4A45" w:rsidR="00F028F0" w:rsidRPr="00281145" w:rsidRDefault="00F028F0" w:rsidP="00200B4A">
      <w:pPr>
        <w:pStyle w:val="IIUstp"/>
        <w:numPr>
          <w:ilvl w:val="0"/>
          <w:numId w:val="5"/>
        </w:numPr>
        <w:ind w:right="-2"/>
      </w:pPr>
      <w:r w:rsidRPr="00281145">
        <w:t>Strony ustalają, że dla zleceń</w:t>
      </w:r>
      <w:r w:rsidR="008D4917" w:rsidRPr="00281145">
        <w:t xml:space="preserve"> uszczegóławiających</w:t>
      </w:r>
      <w:r w:rsidRPr="00281145">
        <w:t xml:space="preserve">, których realizacja obejmuje okres </w:t>
      </w:r>
      <w:r w:rsidR="00D91EB1" w:rsidRPr="00281145">
        <w:br/>
      </w:r>
      <w:r w:rsidRPr="00281145">
        <w:t xml:space="preserve">od </w:t>
      </w:r>
      <w:r w:rsidR="00200B4A" w:rsidRPr="00200B4A">
        <w:rPr>
          <w:b/>
          <w:color w:val="92D050"/>
          <w:u w:val="single"/>
        </w:rPr>
        <w:t>15 grudnia 202</w:t>
      </w:r>
      <w:r w:rsidR="009F7950">
        <w:rPr>
          <w:b/>
          <w:color w:val="92D050"/>
          <w:u w:val="single"/>
        </w:rPr>
        <w:t>5</w:t>
      </w:r>
      <w:r w:rsidR="00200B4A" w:rsidRPr="00200B4A">
        <w:rPr>
          <w:b/>
          <w:color w:val="92D050"/>
          <w:u w:val="single"/>
        </w:rPr>
        <w:t xml:space="preserve"> roku do 15 marca 202</w:t>
      </w:r>
      <w:r w:rsidR="009F7950">
        <w:rPr>
          <w:b/>
          <w:color w:val="92D050"/>
          <w:u w:val="single"/>
        </w:rPr>
        <w:t>6</w:t>
      </w:r>
      <w:r w:rsidR="00200B4A" w:rsidRPr="00200B4A">
        <w:rPr>
          <w:b/>
          <w:color w:val="92D050"/>
          <w:u w:val="single"/>
        </w:rPr>
        <w:t xml:space="preserve"> roku oraz od 15 grudnia 202</w:t>
      </w:r>
      <w:r w:rsidR="009F7950">
        <w:rPr>
          <w:b/>
          <w:color w:val="92D050"/>
          <w:u w:val="single"/>
        </w:rPr>
        <w:t>6</w:t>
      </w:r>
      <w:r w:rsidR="00200B4A" w:rsidRPr="00200B4A">
        <w:rPr>
          <w:b/>
          <w:color w:val="92D050"/>
          <w:u w:val="single"/>
        </w:rPr>
        <w:t xml:space="preserve"> roku do 15 marca 202</w:t>
      </w:r>
      <w:r w:rsidR="009F7950">
        <w:rPr>
          <w:b/>
          <w:color w:val="92D050"/>
          <w:u w:val="single"/>
        </w:rPr>
        <w:t>7</w:t>
      </w:r>
      <w:r w:rsidR="00200B4A" w:rsidRPr="00200B4A">
        <w:rPr>
          <w:b/>
          <w:color w:val="92D050"/>
          <w:u w:val="single"/>
        </w:rPr>
        <w:t xml:space="preserve"> roku</w:t>
      </w:r>
      <w:r w:rsidRPr="00200B4A">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4" w:name="_Ref333780950"/>
    </w:p>
    <w:bookmarkEnd w:id="4"/>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5"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6" w:name="_Ref333801555"/>
      <w:r w:rsidRPr="00281145">
        <w:t>Tak obliczone wynagrodzenie obejmuje wszystkie koszty związane z wykonaniem przedmiotu umowy, w tym między innymi:</w:t>
      </w:r>
      <w:bookmarkEnd w:id="6"/>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dopuszczeń do pracy – wyłączenia napięcia, przygotowania i likwidacji miejsca pracy, ponownego załączenia urządzeń (za koszty dopuszczeń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7" w:name="_Ref333781144"/>
      <w:bookmarkEnd w:id="5"/>
    </w:p>
    <w:bookmarkEnd w:id="7"/>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8"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9"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9"/>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10"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10"/>
      <w:r w:rsidR="00026367" w:rsidRPr="00281145">
        <w:t>”</w:t>
      </w:r>
      <w:r w:rsidR="009F3D66">
        <w:t xml:space="preserve">. </w:t>
      </w:r>
    </w:p>
    <w:p w14:paraId="31C5D65B" w14:textId="0B3F5F23" w:rsidR="00ED3EBE" w:rsidRPr="00281145" w:rsidRDefault="00ED3EBE" w:rsidP="00C82D5E">
      <w:pPr>
        <w:pStyle w:val="IIUstp"/>
        <w:ind w:right="-2"/>
      </w:pPr>
      <w:bookmarkStart w:id="11" w:name="_Ref333800222"/>
      <w:r w:rsidRPr="00281145">
        <w:t xml:space="preserve">Jeżeli w toku czynności odbioru </w:t>
      </w:r>
      <w:r w:rsidR="00526246">
        <w:t xml:space="preserve">robót budowlanych </w:t>
      </w:r>
      <w:r w:rsidRPr="00281145">
        <w:t>zostaną stwierdzone wady:</w:t>
      </w:r>
      <w:bookmarkEnd w:id="11"/>
    </w:p>
    <w:p w14:paraId="0DBD319C" w14:textId="33AD43CA" w:rsidR="00ED3EBE" w:rsidRPr="00281145" w:rsidRDefault="00ED3EBE" w:rsidP="00AB2411">
      <w:pPr>
        <w:pStyle w:val="IIInumerowanie"/>
        <w:numPr>
          <w:ilvl w:val="0"/>
          <w:numId w:val="27"/>
        </w:numPr>
        <w:ind w:left="709" w:right="-2" w:hanging="283"/>
        <w:rPr>
          <w:color w:val="auto"/>
        </w:rPr>
      </w:pPr>
      <w:bookmarkStart w:id="12"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2"/>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3"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3"/>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4" w:name="_Ref333789134"/>
      <w:bookmarkEnd w:id="8"/>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5" w:name="_Ref333785741"/>
      <w:bookmarkEnd w:id="14"/>
    </w:p>
    <w:bookmarkEnd w:id="15"/>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6"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6"/>
    </w:p>
    <w:p w14:paraId="460CBF28" w14:textId="77777777" w:rsidR="00FA7E02" w:rsidRPr="00281145" w:rsidRDefault="00FA7E02" w:rsidP="00756B6D">
      <w:pPr>
        <w:pStyle w:val="IIUstp"/>
        <w:numPr>
          <w:ilvl w:val="0"/>
          <w:numId w:val="7"/>
        </w:numPr>
      </w:pPr>
      <w:bookmarkStart w:id="17"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7"/>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8" w:name="_Ref333781572"/>
    </w:p>
    <w:bookmarkEnd w:id="18"/>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9"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9"/>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20" w:name="_Ref333793229"/>
    </w:p>
    <w:bookmarkEnd w:id="20"/>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1" w:name="_Ref333792191"/>
      <w:r w:rsidRPr="00281145">
        <w:t>Wykonawca oświadcza, iż:</w:t>
      </w:r>
      <w:bookmarkEnd w:id="21"/>
    </w:p>
    <w:p w14:paraId="1945AA8A" w14:textId="77777777" w:rsidR="00FA7E02" w:rsidRPr="00281145" w:rsidRDefault="00FA7E02" w:rsidP="00AB2411">
      <w:pPr>
        <w:pStyle w:val="IIInumerowanie"/>
        <w:numPr>
          <w:ilvl w:val="0"/>
          <w:numId w:val="23"/>
        </w:numPr>
        <w:rPr>
          <w:bCs/>
          <w:color w:val="auto"/>
        </w:rPr>
      </w:pPr>
      <w:bookmarkStart w:id="22"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2"/>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3"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3"/>
    </w:p>
    <w:p w14:paraId="378A6221" w14:textId="77777777" w:rsidR="00FA7E02" w:rsidRPr="00281145" w:rsidRDefault="00FA7E02" w:rsidP="00AB2411">
      <w:pPr>
        <w:pStyle w:val="IIUstp"/>
        <w:numPr>
          <w:ilvl w:val="0"/>
          <w:numId w:val="16"/>
        </w:numPr>
      </w:pPr>
      <w:bookmarkStart w:id="24"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4"/>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5" w:name="_Ref333785825"/>
    </w:p>
    <w:p w14:paraId="58D8E69B" w14:textId="77777777" w:rsidR="00E71AF9" w:rsidRPr="00281145" w:rsidRDefault="00061993" w:rsidP="00742C40">
      <w:pPr>
        <w:pStyle w:val="IIIXPodtytu"/>
        <w:spacing w:after="120"/>
        <w:ind w:left="3540" w:right="-284"/>
        <w:jc w:val="both"/>
      </w:pPr>
      <w:bookmarkStart w:id="26" w:name="_Ref333787697"/>
      <w:bookmarkEnd w:id="25"/>
      <w:r w:rsidRPr="00281145">
        <w:t xml:space="preserve">        </w:t>
      </w:r>
      <w:r w:rsidR="00742C40" w:rsidRPr="00281145">
        <w:t>K</w:t>
      </w:r>
      <w:r w:rsidR="00D31F26" w:rsidRPr="00281145">
        <w:t>ary umowne</w:t>
      </w:r>
      <w:bookmarkStart w:id="27"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8" w:name="_Ref333800013"/>
      <w:bookmarkEnd w:id="27"/>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640E81FD" w14:textId="77777777" w:rsidR="00D31F26" w:rsidRPr="00281145" w:rsidRDefault="00D31F26" w:rsidP="00AB2411">
      <w:pPr>
        <w:pStyle w:val="IIInumerowanie"/>
        <w:numPr>
          <w:ilvl w:val="0"/>
          <w:numId w:val="30"/>
        </w:numPr>
        <w:ind w:right="-2"/>
        <w:rPr>
          <w:color w:val="auto"/>
        </w:rPr>
      </w:pPr>
      <w:bookmarkStart w:id="29"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9"/>
    </w:p>
    <w:p w14:paraId="1B9DB043" w14:textId="77777777" w:rsidR="00D31F26" w:rsidRPr="00281145" w:rsidRDefault="00D31F26" w:rsidP="00AB2411">
      <w:pPr>
        <w:pStyle w:val="IIInumerowanie"/>
        <w:numPr>
          <w:ilvl w:val="0"/>
          <w:numId w:val="30"/>
        </w:numPr>
        <w:ind w:right="-2"/>
        <w:rPr>
          <w:color w:val="auto"/>
        </w:rPr>
      </w:pPr>
      <w:bookmarkStart w:id="30"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30"/>
    </w:p>
    <w:p w14:paraId="0B7FBCA8" w14:textId="05D28315" w:rsidR="00D31F26" w:rsidRPr="00281145" w:rsidRDefault="00D31F26" w:rsidP="00AB2411">
      <w:pPr>
        <w:pStyle w:val="IIInumerowanie"/>
        <w:numPr>
          <w:ilvl w:val="0"/>
          <w:numId w:val="30"/>
        </w:numPr>
        <w:ind w:right="-2"/>
        <w:rPr>
          <w:color w:val="auto"/>
        </w:rPr>
      </w:pPr>
      <w:bookmarkStart w:id="31"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1"/>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2"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2"/>
    </w:p>
    <w:p w14:paraId="0FF31738" w14:textId="77777777" w:rsidR="00FA7E02" w:rsidRPr="00281145" w:rsidRDefault="00FA7E02" w:rsidP="00AB2411">
      <w:pPr>
        <w:pStyle w:val="IParagraf"/>
        <w:numPr>
          <w:ilvl w:val="0"/>
          <w:numId w:val="25"/>
        </w:numPr>
      </w:pPr>
    </w:p>
    <w:bookmarkEnd w:id="26"/>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3"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3"/>
    </w:p>
    <w:p w14:paraId="6DBC02F1" w14:textId="77777777" w:rsidR="00FA7E02" w:rsidRPr="00281145" w:rsidRDefault="00FA7E02" w:rsidP="00AB2411">
      <w:pPr>
        <w:pStyle w:val="IIUstp"/>
        <w:numPr>
          <w:ilvl w:val="0"/>
          <w:numId w:val="17"/>
        </w:numPr>
      </w:pPr>
      <w:bookmarkStart w:id="34"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4"/>
      <w:r w:rsidRPr="00281145">
        <w:t xml:space="preserve"> </w:t>
      </w:r>
    </w:p>
    <w:p w14:paraId="60C9BA3B" w14:textId="03638C8C" w:rsidR="00FA7E02" w:rsidRPr="00281145" w:rsidRDefault="00FA7E02" w:rsidP="00AB2411">
      <w:pPr>
        <w:pStyle w:val="IIUstp"/>
        <w:numPr>
          <w:ilvl w:val="0"/>
          <w:numId w:val="17"/>
        </w:numPr>
      </w:pPr>
      <w:bookmarkStart w:id="35"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5"/>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6" w:name="_Ref333802339"/>
      <w:r w:rsidRPr="00281145">
        <w:t>W przypadku gdy przedmiot umowy został wykonany niezgodnie z umową i przedmiotem zamówienia, Zamawiający, wedle własnego wyboru, może:</w:t>
      </w:r>
      <w:bookmarkEnd w:id="36"/>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7"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7"/>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8" w:name="_Ref333936927"/>
      <w:bookmarkStart w:id="39" w:name="_Ref333793842"/>
    </w:p>
    <w:bookmarkEnd w:id="38"/>
    <w:p w14:paraId="54882C1F" w14:textId="77777777" w:rsidR="00295AFE" w:rsidRPr="00281145" w:rsidRDefault="00295AFE" w:rsidP="00DA5918">
      <w:pPr>
        <w:pStyle w:val="IIIXPodtytu"/>
        <w:spacing w:after="120"/>
      </w:pPr>
      <w:r w:rsidRPr="00281145">
        <w:t>Zabezpieczenie należytego wykonania umowy</w:t>
      </w:r>
      <w:bookmarkStart w:id="40"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40"/>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1"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1"/>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2"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2"/>
      <w:r w:rsidRPr="00281145">
        <w:t xml:space="preserve"> </w:t>
      </w:r>
    </w:p>
    <w:p w14:paraId="0B551B41" w14:textId="77777777" w:rsidR="00BF4079" w:rsidRPr="00281145" w:rsidRDefault="00295AFE" w:rsidP="00742C40">
      <w:pPr>
        <w:pStyle w:val="IIUstp"/>
      </w:pPr>
      <w:bookmarkStart w:id="43"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3"/>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9"/>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4"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4"/>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5" w:name="_Ref333782342"/>
      <w:r w:rsidRPr="00281145">
        <w:t xml:space="preserve">– Oferta </w:t>
      </w:r>
      <w:r w:rsidR="00FC2CB5" w:rsidRPr="00281145">
        <w:t>Wykonawcy</w:t>
      </w:r>
      <w:bookmarkEnd w:id="45"/>
      <w:r w:rsidR="00E90047" w:rsidRPr="00281145">
        <w:t>.</w:t>
      </w:r>
    </w:p>
    <w:p w14:paraId="72E89511" w14:textId="77777777" w:rsidR="00FA7E02" w:rsidRPr="00281145" w:rsidRDefault="00FA7E02" w:rsidP="00756B6D">
      <w:pPr>
        <w:pStyle w:val="IIIZaczniki"/>
        <w:numPr>
          <w:ilvl w:val="0"/>
          <w:numId w:val="4"/>
        </w:numPr>
        <w:rPr>
          <w:b/>
        </w:rPr>
      </w:pPr>
      <w:bookmarkStart w:id="46" w:name="_Ref333781107"/>
      <w:r w:rsidRPr="00281145">
        <w:t>– Wzór zlecenia uszczegółowiającego.</w:t>
      </w:r>
      <w:bookmarkEnd w:id="46"/>
    </w:p>
    <w:p w14:paraId="5FABB073" w14:textId="77777777" w:rsidR="00FA7E02" w:rsidRPr="00281145" w:rsidRDefault="00FA7E02" w:rsidP="00756B6D">
      <w:pPr>
        <w:pStyle w:val="IIIZaczniki"/>
        <w:numPr>
          <w:ilvl w:val="0"/>
          <w:numId w:val="4"/>
        </w:numPr>
        <w:rPr>
          <w:b/>
        </w:rPr>
      </w:pPr>
      <w:bookmarkStart w:id="47" w:name="_Ref333782487"/>
      <w:r w:rsidRPr="00281145">
        <w:t>– Specyfikacja techniczna.</w:t>
      </w:r>
      <w:bookmarkEnd w:id="47"/>
    </w:p>
    <w:p w14:paraId="589D0E9B" w14:textId="77777777" w:rsidR="00FA7E02" w:rsidRPr="00281145" w:rsidRDefault="00FA7E02" w:rsidP="00756B6D">
      <w:pPr>
        <w:pStyle w:val="IIIZaczniki"/>
        <w:numPr>
          <w:ilvl w:val="0"/>
          <w:numId w:val="4"/>
        </w:numPr>
        <w:rPr>
          <w:b/>
        </w:rPr>
      </w:pPr>
      <w:bookmarkStart w:id="48" w:name="_Ref333793743"/>
      <w:r w:rsidRPr="00281145">
        <w:t xml:space="preserve">– Wykaz osób ze strony Wykonawcy mających dostęp do informacji, o których mowa w </w:t>
      </w:r>
      <w:r w:rsidR="00CE39E6" w:rsidRPr="00281145">
        <w:t>§12</w:t>
      </w:r>
      <w:r w:rsidRPr="00281145">
        <w:t>.</w:t>
      </w:r>
      <w:bookmarkEnd w:id="48"/>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416177"/>
      <w:docPartObj>
        <w:docPartGallery w:val="Page Numbers (Bottom of Page)"/>
        <w:docPartUnique/>
      </w:docPartObj>
    </w:sdtPr>
    <w:sdtEndPr>
      <w:rPr>
        <w:color w:val="808080" w:themeColor="background1" w:themeShade="80"/>
        <w:spacing w:val="60"/>
      </w:rPr>
    </w:sdtEndPr>
    <w:sdtContent>
      <w:p w14:paraId="3F105D3A" w14:textId="68B75799"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544C0F">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1F337" w14:textId="55B2D50E" w:rsidR="00894B7B" w:rsidRDefault="00894B7B" w:rsidP="00A15634">
    <w:pPr>
      <w:pStyle w:val="Nagwek"/>
      <w:jc w:val="right"/>
    </w:pPr>
    <w:r w:rsidRPr="00017C3A">
      <w:rPr>
        <w:rFonts w:ascii="Arial" w:hAnsi="Arial" w:cs="Arial"/>
        <w:b/>
        <w:sz w:val="22"/>
        <w:szCs w:val="22"/>
      </w:rPr>
      <w:t xml:space="preserve">Załącznik nr 5 do SWZ postępowanie nr </w:t>
    </w:r>
    <w:r>
      <w:rPr>
        <w:rFonts w:ascii="Arial" w:hAnsi="Arial" w:cs="Arial"/>
        <w:b/>
        <w:sz w:val="22"/>
        <w:szCs w:val="22"/>
      </w:rPr>
      <w:t>__________________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num>
  <w:num w:numId="11">
    <w:abstractNumId w:val="12"/>
  </w:num>
  <w:num w:numId="12">
    <w:abstractNumId w:val="12"/>
    <w:lvlOverride w:ilvl="0">
      <w:startOverride w:val="1"/>
    </w:lvlOverride>
  </w:num>
  <w:num w:numId="13">
    <w:abstractNumId w:val="12"/>
    <w:lvlOverride w:ilvl="0">
      <w:startOverride w:val="1"/>
    </w:lvlOverride>
  </w:num>
  <w:num w:numId="14">
    <w:abstractNumId w:val="12"/>
    <w:lvlOverride w:ilvl="0">
      <w:startOverride w:val="1"/>
    </w:lvlOverride>
  </w:num>
  <w:num w:numId="15">
    <w:abstractNumId w:val="12"/>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2"/>
    <w:lvlOverride w:ilvl="0">
      <w:startOverride w:val="1"/>
    </w:lvlOverride>
  </w:num>
  <w:num w:numId="26">
    <w:abstractNumId w:val="10"/>
    <w:lvlOverride w:ilvl="0">
      <w:startOverride w:val="1"/>
    </w:lvlOverride>
  </w:num>
  <w:num w:numId="27">
    <w:abstractNumId w:val="1"/>
  </w:num>
  <w:num w:numId="28">
    <w:abstractNumId w:val="16"/>
  </w:num>
  <w:num w:numId="29">
    <w:abstractNumId w:val="17"/>
    <w:lvlOverride w:ilvl="0">
      <w:startOverride w:val="1"/>
    </w:lvlOverride>
  </w:num>
  <w:num w:numId="30">
    <w:abstractNumId w:val="0"/>
  </w:num>
  <w:num w:numId="31">
    <w:abstractNumId w:val="14"/>
  </w:num>
  <w:num w:numId="32">
    <w:abstractNumId w:val="5"/>
  </w:num>
  <w:num w:numId="33">
    <w:abstractNumId w:val="13"/>
  </w:num>
  <w:num w:numId="34">
    <w:abstractNumId w:val="17"/>
    <w:lvlOverride w:ilvl="0">
      <w:startOverride w:val="1"/>
    </w:lvlOverride>
  </w:num>
  <w:num w:numId="35">
    <w:abstractNumId w:val="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17"/>
  </w:num>
  <w:num w:numId="39">
    <w:abstractNumId w:val="3"/>
  </w:num>
  <w:num w:numId="40">
    <w:abstractNumId w:val="17"/>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6"/>
  </w:num>
  <w:num w:numId="4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00B4A"/>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44C0F"/>
    <w:rsid w:val="00553878"/>
    <w:rsid w:val="005570A5"/>
    <w:rsid w:val="00561E9E"/>
    <w:rsid w:val="005743B5"/>
    <w:rsid w:val="00577593"/>
    <w:rsid w:val="0058100F"/>
    <w:rsid w:val="005940D6"/>
    <w:rsid w:val="0059532F"/>
    <w:rsid w:val="005A2CFD"/>
    <w:rsid w:val="005A5A88"/>
    <w:rsid w:val="005B125E"/>
    <w:rsid w:val="005B16FB"/>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F3D66"/>
    <w:rsid w:val="009F4CAE"/>
    <w:rsid w:val="009F7882"/>
    <w:rsid w:val="009F7950"/>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RE02.docx</dmsv2BaseFileName>
    <dmsv2BaseDisplayName xmlns="http://schemas.microsoft.com/sharepoint/v3">Załącznik nr 5 do SWZ - umowa suk.wyk.dok.proj.i rb.bud. przyłączy lub linii nN po zm. v. 3.1 RE02</dmsv2BaseDisplayName>
    <dmsv2SWPP2ObjectNumber xmlns="http://schemas.microsoft.com/sharepoint/v3">POST/DYS/OLD/GZ/01935/2025                        </dmsv2SWPP2ObjectNumber>
    <dmsv2SWPP2SumMD5 xmlns="http://schemas.microsoft.com/sharepoint/v3">5cba1eeaa2d47d39942d6dffc7a19828</dmsv2SWPP2SumMD5>
    <dmsv2BaseMoved xmlns="http://schemas.microsoft.com/sharepoint/v3">false</dmsv2BaseMoved>
    <dmsv2BaseIsSensitive xmlns="http://schemas.microsoft.com/sharepoint/v3">true</dmsv2BaseIsSensitive>
    <dmsv2SWPP2IDSWPP2 xmlns="http://schemas.microsoft.com/sharepoint/v3">681572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22532870</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M37YNRNYPV7A-1513220467-2678</_dlc_DocId>
    <_dlc_DocIdUrl xmlns="a19cb1c7-c5c7-46d4-85ae-d83685407bba">
      <Url>https://swpp2.dms.gkpge.pl/sites/37/_layouts/15/DocIdRedir.aspx?ID=M37YNRNYPV7A-1513220467-2678</Url>
      <Description>M37YNRNYPV7A-1513220467-2678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208E4E-93FF-451D-B446-449248967A3C}"/>
</file>

<file path=customXml/itemProps2.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3.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4.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5.xml><?xml version="1.0" encoding="utf-8"?>
<ds:datastoreItem xmlns:ds="http://schemas.openxmlformats.org/officeDocument/2006/customXml" ds:itemID="{613FB1E3-7B11-4DD0-9515-E095BCBC1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10407</Words>
  <Characters>62443</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Duńczewski Piotr [PGE Dystr. O.Łódź]</cp:lastModifiedBy>
  <cp:revision>5</cp:revision>
  <cp:lastPrinted>2023-12-11T08:58:00Z</cp:lastPrinted>
  <dcterms:created xsi:type="dcterms:W3CDTF">2024-02-05T06:11:00Z</dcterms:created>
  <dcterms:modified xsi:type="dcterms:W3CDTF">2025-01-30T11:18:00Z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e3dfa5a7-98aa-4940-adb9-e38bcc206fd8</vt:lpwstr>
  </property>
</Properties>
</file>