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4D2C1BF"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FD09AD">
        <w:rPr>
          <w:rFonts w:cstheme="minorHAnsi"/>
          <w:color w:val="000000" w:themeColor="text1"/>
          <w:sz w:val="20"/>
          <w:szCs w:val="20"/>
        </w:rPr>
        <w:br/>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00150B82"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t>
      </w:r>
      <w:r w:rsidR="00FD09AD">
        <w:rPr>
          <w:rFonts w:asciiTheme="minorHAnsi" w:hAnsiTheme="minorHAnsi" w:cstheme="minorHAnsi"/>
          <w:sz w:val="20"/>
          <w:lang w:eastAsia="pl-PL"/>
        </w:rPr>
        <w:br/>
      </w:r>
      <w:r w:rsidRPr="00E66BB9">
        <w:rPr>
          <w:rFonts w:asciiTheme="minorHAnsi" w:hAnsiTheme="minorHAnsi" w:cstheme="minorHAnsi"/>
          <w:sz w:val="20"/>
          <w:lang w:eastAsia="pl-PL"/>
        </w:rPr>
        <w:t xml:space="preserve">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2DD3B11D"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t>
      </w:r>
      <w:r w:rsidR="00FD09AD">
        <w:rPr>
          <w:rFonts w:asciiTheme="minorHAnsi" w:hAnsiTheme="minorHAnsi" w:cstheme="minorHAnsi"/>
          <w:sz w:val="20"/>
          <w:lang w:eastAsia="pl-PL"/>
        </w:rPr>
        <w:br/>
      </w:r>
      <w:r w:rsidRPr="00E66BB9">
        <w:rPr>
          <w:rFonts w:asciiTheme="minorHAnsi" w:hAnsiTheme="minorHAnsi" w:cstheme="minorHAnsi"/>
          <w:sz w:val="20"/>
          <w:lang w:eastAsia="pl-PL"/>
        </w:rPr>
        <w:t xml:space="preserve">w rozumieniu ustawy z dnia 1 marca 2018 r. o przeciwdziałaniu praniu pieniędzy oraz finansowaniu terroryzmu (tj. Dz. U. z 2022 r. poz. 593 ze zm.) jest osoba wymieniona w wykazach określonych </w:t>
      </w:r>
      <w:r w:rsidR="00FD09AD">
        <w:rPr>
          <w:rFonts w:asciiTheme="minorHAnsi" w:hAnsiTheme="minorHAnsi" w:cstheme="minorHAnsi"/>
          <w:sz w:val="20"/>
          <w:lang w:eastAsia="pl-PL"/>
        </w:rPr>
        <w:br/>
      </w:r>
      <w:r w:rsidRPr="00E66BB9">
        <w:rPr>
          <w:rFonts w:asciiTheme="minorHAnsi" w:hAnsiTheme="minorHAnsi" w:cstheme="minorHAnsi"/>
          <w:sz w:val="20"/>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A5A2734"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t>
      </w:r>
      <w:r w:rsidR="00FD09AD">
        <w:rPr>
          <w:rFonts w:asciiTheme="minorHAnsi" w:hAnsiTheme="minorHAnsi" w:cstheme="minorHAnsi"/>
          <w:sz w:val="20"/>
          <w:lang w:eastAsia="pl-PL"/>
        </w:rPr>
        <w:br/>
      </w:r>
      <w:r w:rsidRPr="00E66BB9">
        <w:rPr>
          <w:rFonts w:asciiTheme="minorHAnsi" w:hAnsiTheme="minorHAnsi" w:cstheme="minorHAnsi"/>
          <w:sz w:val="20"/>
          <w:lang w:eastAsia="pl-PL"/>
        </w:rPr>
        <w:t xml:space="preserve">w rozumieniu art. 3 ust. 1 pkt 37 ustawy z dnia 29 września 1994 r. o rachunkowości (tj.: Dz. U. z 2021 r. poz. 217 ze zm.), jest podmiot wymieniony w wykazach określonych w Rozporządzeniu 765/2006 </w:t>
      </w:r>
      <w:r w:rsidR="00FD09AD">
        <w:rPr>
          <w:rFonts w:asciiTheme="minorHAnsi" w:hAnsiTheme="minorHAnsi" w:cstheme="minorHAnsi"/>
          <w:sz w:val="20"/>
          <w:lang w:eastAsia="pl-PL"/>
        </w:rPr>
        <w:br/>
      </w:r>
      <w:r w:rsidRPr="00E66BB9">
        <w:rPr>
          <w:rFonts w:asciiTheme="minorHAnsi" w:hAnsiTheme="minorHAnsi" w:cstheme="minorHAnsi"/>
          <w:sz w:val="20"/>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03A55989"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obywateli rosyjskich lub osób fizycznych lub prawnych, podmiotów lub organów z siedzibą </w:t>
      </w:r>
      <w:r w:rsidR="00FD09AD">
        <w:rPr>
          <w:rFonts w:asciiTheme="minorHAnsi" w:hAnsiTheme="minorHAnsi" w:cstheme="minorHAnsi"/>
          <w:sz w:val="20"/>
          <w:lang w:eastAsia="pl-PL"/>
        </w:rPr>
        <w:br/>
      </w:r>
      <w:r w:rsidRPr="00E66BB9">
        <w:rPr>
          <w:rFonts w:asciiTheme="minorHAnsi" w:hAnsiTheme="minorHAnsi" w:cstheme="minorHAnsi"/>
          <w:sz w:val="20"/>
          <w:lang w:eastAsia="pl-PL"/>
        </w:rPr>
        <w:t>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14EFC5EE"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 xml:space="preserve">o którym mowa w art. 228–230a, art. 250a Kodeksu karnego lub w art. 46 lub art. 48 ustawy </w:t>
      </w:r>
      <w:r w:rsidR="00FD09AD">
        <w:rPr>
          <w:rFonts w:asciiTheme="minorHAnsi" w:hAnsiTheme="minorHAnsi" w:cstheme="minorHAnsi"/>
          <w:sz w:val="20"/>
          <w:lang w:eastAsia="pl-PL"/>
        </w:rPr>
        <w:br/>
      </w:r>
      <w:r w:rsidRPr="00571A54">
        <w:rPr>
          <w:rFonts w:asciiTheme="minorHAnsi" w:hAnsiTheme="minorHAnsi" w:cstheme="minorHAnsi"/>
          <w:sz w:val="20"/>
          <w:lang w:eastAsia="pl-PL"/>
        </w:rPr>
        <w:t xml:space="preserve">z dnia 25 czerwca 2010 r. o sporcie (Dz.U. z 2020 r. poz. 1133 oraz z 2021 r. poz. 2054) lub </w:t>
      </w:r>
      <w:r w:rsidR="00FD09AD">
        <w:rPr>
          <w:rFonts w:asciiTheme="minorHAnsi" w:hAnsiTheme="minorHAnsi" w:cstheme="minorHAnsi"/>
          <w:sz w:val="20"/>
          <w:lang w:eastAsia="pl-PL"/>
        </w:rPr>
        <w:br/>
      </w:r>
      <w:r w:rsidRPr="00571A54">
        <w:rPr>
          <w:rFonts w:asciiTheme="minorHAnsi" w:hAnsiTheme="minorHAnsi" w:cstheme="minorHAnsi"/>
          <w:sz w:val="20"/>
          <w:lang w:eastAsia="pl-PL"/>
        </w:rPr>
        <w:t>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6C7DA02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w:t>
      </w:r>
      <w:r w:rsidR="00FD09AD">
        <w:rPr>
          <w:rFonts w:asciiTheme="minorHAnsi" w:hAnsiTheme="minorHAnsi" w:cstheme="minorHAnsi"/>
          <w:sz w:val="20"/>
          <w:lang w:eastAsia="pl-PL"/>
        </w:rPr>
        <w:br/>
      </w:r>
      <w:r w:rsidRPr="00571A54">
        <w:rPr>
          <w:rFonts w:asciiTheme="minorHAnsi" w:hAnsiTheme="minorHAnsi" w:cstheme="minorHAnsi"/>
          <w:sz w:val="20"/>
          <w:lang w:eastAsia="pl-PL"/>
        </w:rPr>
        <w:t>o zamówienia publiczne,</w:t>
      </w:r>
    </w:p>
    <w:p w14:paraId="333A2D12" w14:textId="2CA7C5C5"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t>
      </w:r>
      <w:r w:rsidR="00FD09AD">
        <w:rPr>
          <w:rFonts w:asciiTheme="minorHAnsi" w:hAnsiTheme="minorHAnsi" w:cstheme="minorHAnsi"/>
          <w:sz w:val="20"/>
          <w:lang w:eastAsia="pl-PL"/>
        </w:rPr>
        <w:br/>
      </w:r>
      <w:r w:rsidRPr="00571A54">
        <w:rPr>
          <w:rFonts w:asciiTheme="minorHAnsi" w:hAnsiTheme="minorHAnsi" w:cstheme="minorHAnsi"/>
          <w:sz w:val="20"/>
          <w:lang w:eastAsia="pl-PL"/>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2FF05C1F"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FD09AD">
        <w:rPr>
          <w:rFonts w:asciiTheme="minorHAnsi" w:hAnsiTheme="minorHAnsi" w:cstheme="minorHAnsi"/>
          <w:sz w:val="20"/>
          <w:lang w:eastAsia="pl-PL"/>
        </w:rPr>
        <w:br/>
      </w:r>
      <w:r w:rsidRPr="00571A54">
        <w:rPr>
          <w:rFonts w:asciiTheme="minorHAnsi" w:hAnsiTheme="minorHAnsi" w:cstheme="minorHAnsi"/>
          <w:sz w:val="20"/>
          <w:lang w:eastAsia="pl-PL"/>
        </w:rPr>
        <w:t>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53CBD205"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 xml:space="preserve">osiadają niezbędne zdolności techniczne lub zawodowe do zrealizowania Zakupu, </w:t>
      </w:r>
      <w:r w:rsidR="00FD09AD">
        <w:rPr>
          <w:rFonts w:asciiTheme="minorHAnsi" w:hAnsiTheme="minorHAnsi" w:cstheme="minorHAnsi"/>
          <w:b/>
          <w:sz w:val="20"/>
          <w:lang w:eastAsia="pl-PL"/>
        </w:rPr>
        <w:br/>
      </w:r>
      <w:r w:rsidRPr="004B4556">
        <w:rPr>
          <w:rFonts w:asciiTheme="minorHAnsi" w:hAnsiTheme="minorHAnsi" w:cstheme="minorHAnsi"/>
          <w:b/>
          <w:sz w:val="20"/>
          <w:lang w:eastAsia="pl-PL"/>
        </w:rPr>
        <w:t>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 xml:space="preserve">posiadają uprawnienia do prowadzenia prac sieciowych (sieci i urządzenia </w:t>
      </w:r>
      <w:proofErr w:type="spellStart"/>
      <w:r w:rsidRPr="00CE5A24">
        <w:rPr>
          <w:rFonts w:asciiTheme="minorHAnsi" w:hAnsiTheme="minorHAnsi" w:cstheme="minorHAnsi"/>
          <w:sz w:val="20"/>
          <w:lang w:eastAsia="pl-PL"/>
        </w:rPr>
        <w:t>nN</w:t>
      </w:r>
      <w:proofErr w:type="spellEnd"/>
      <w:r w:rsidRPr="00CE5A24">
        <w:rPr>
          <w:rFonts w:asciiTheme="minorHAnsi" w:hAnsiTheme="minorHAnsi" w:cstheme="minorHAnsi"/>
          <w:sz w:val="20"/>
          <w:lang w:eastAsia="pl-PL"/>
        </w:rPr>
        <w:t>)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64E69FF8"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AD7A4B">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334673C0"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w:t>
      </w:r>
      <w:r w:rsidR="00AD7A4B">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32A44A53"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AD7A4B">
        <w:rPr>
          <w:rFonts w:asciiTheme="minorHAnsi" w:eastAsia="Calibri" w:hAnsiTheme="minorHAnsi" w:cstheme="minorHAnsi"/>
          <w:b/>
          <w:sz w:val="20"/>
        </w:rPr>
        <w:br/>
      </w:r>
      <w:r w:rsidRPr="006D75E6">
        <w:rPr>
          <w:rFonts w:asciiTheme="minorHAnsi" w:eastAsia="Calibri" w:hAnsiTheme="minorHAnsi" w:cstheme="minorHAnsi"/>
          <w:b/>
          <w:sz w:val="20"/>
        </w:rPr>
        <w:t xml:space="preserve">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51F400FF"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 xml:space="preserve">destabilizującymi sytuację na Ukrainie. W przypadku Wykonawców wspólnie ubiegających się </w:t>
      </w:r>
      <w:r w:rsidR="00AD7A4B">
        <w:rPr>
          <w:rFonts w:asciiTheme="minorHAnsi" w:eastAsia="Calibri" w:hAnsiTheme="minorHAnsi" w:cstheme="minorHAnsi"/>
          <w:sz w:val="20"/>
        </w:rPr>
        <w:br/>
      </w:r>
      <w:r w:rsidRPr="004D2168">
        <w:rPr>
          <w:rFonts w:asciiTheme="minorHAnsi" w:eastAsia="Calibri" w:hAnsiTheme="minorHAnsi" w:cstheme="minorHAnsi"/>
          <w:sz w:val="20"/>
        </w:rPr>
        <w:t>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804AA05"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AD7A4B">
        <w:rPr>
          <w:rFonts w:asciiTheme="minorHAnsi" w:eastAsia="Calibri" w:hAnsiTheme="minorHAnsi" w:cstheme="minorHAnsi"/>
          <w:sz w:val="20"/>
        </w:rPr>
        <w:br/>
      </w:r>
      <w:r w:rsidRPr="003E61E0">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263C8513"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AD7A4B">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4F7444EC"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t>
      </w:r>
      <w:r w:rsidR="00AD7A4B">
        <w:rPr>
          <w:rFonts w:asciiTheme="minorHAnsi" w:hAnsiTheme="minorHAnsi" w:cstheme="minorHAnsi"/>
          <w:b/>
          <w:sz w:val="20"/>
        </w:rPr>
        <w:br/>
      </w:r>
      <w:r w:rsidRPr="00EA1FB3">
        <w:rPr>
          <w:rFonts w:asciiTheme="minorHAnsi" w:hAnsiTheme="minorHAnsi" w:cstheme="minorHAnsi"/>
          <w:b/>
          <w:sz w:val="20"/>
        </w:rPr>
        <w:t>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AD7A4B">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t>
      </w:r>
      <w:r w:rsidR="00AD7A4B">
        <w:rPr>
          <w:rFonts w:asciiTheme="minorHAnsi" w:hAnsiTheme="minorHAnsi" w:cstheme="minorHAnsi"/>
          <w:sz w:val="20"/>
        </w:rPr>
        <w:br/>
      </w:r>
      <w:r w:rsidRPr="00EA1FB3">
        <w:rPr>
          <w:rFonts w:asciiTheme="minorHAnsi" w:hAnsiTheme="minorHAnsi" w:cstheme="minorHAnsi"/>
          <w:sz w:val="20"/>
        </w:rPr>
        <w:t>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2BEFF54D" w14:textId="68C6ABD9"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bookmarkStart w:id="2" w:name="_GoBack"/>
      <w:bookmarkEnd w:id="2"/>
      <w:r w:rsidRPr="007F4D3D">
        <w:rPr>
          <w:rFonts w:asciiTheme="minorHAnsi" w:hAnsiTheme="minorHAnsi" w:cstheme="minorHAnsi"/>
          <w:b/>
          <w:sz w:val="20"/>
        </w:rPr>
        <w:t xml:space="preserve">Uwaga: Dokumenty składające się na ofertę wymienione w pkt 3.1. powyżej nie podlegają uzupełnieniu </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AE096B"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A940E6">
        <w:rPr>
          <w:rFonts w:asciiTheme="minorHAnsi" w:hAnsiTheme="minorHAnsi" w:cstheme="minorHAnsi"/>
          <w:sz w:val="20"/>
          <w:highlight w:val="yellow"/>
        </w:rPr>
        <w:t xml:space="preserve">Potwierdzenie wniesienia wadium dołączone do oferty </w:t>
      </w:r>
      <w:r w:rsidRPr="00A940E6">
        <w:rPr>
          <w:rFonts w:asciiTheme="minorHAnsi" w:eastAsia="Calibri" w:hAnsiTheme="minorHAnsi" w:cstheme="minorHAnsi"/>
          <w:sz w:val="20"/>
          <w:highlight w:val="yellow"/>
        </w:rPr>
        <w:t>powyżej.</w:t>
      </w:r>
    </w:p>
    <w:p w14:paraId="2EECA00F" w14:textId="305E24E5"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xml:space="preserve">., 3.5.,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t>
      </w:r>
      <w:r w:rsidR="00D75029">
        <w:rPr>
          <w:rFonts w:asciiTheme="minorHAnsi" w:hAnsiTheme="minorHAnsi" w:cstheme="minorHAnsi"/>
          <w:sz w:val="20"/>
        </w:rPr>
        <w:br/>
      </w:r>
      <w:r w:rsidRPr="000F42C7">
        <w:rPr>
          <w:rFonts w:asciiTheme="minorHAnsi" w:hAnsiTheme="minorHAnsi" w:cstheme="minorHAnsi"/>
          <w:sz w:val="20"/>
        </w:rPr>
        <w:t xml:space="preserve">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7F17348A"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 2.8., 3.7.,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007C5A91"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D75029">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0C322951"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D75029">
        <w:rPr>
          <w:rFonts w:asciiTheme="minorHAnsi" w:hAnsiTheme="minorHAnsi" w:cstheme="minorHAnsi"/>
          <w:sz w:val="20"/>
        </w:rPr>
        <w:br/>
      </w:r>
      <w:r w:rsidRPr="00F352A5">
        <w:rPr>
          <w:rFonts w:asciiTheme="minorHAnsi" w:hAnsiTheme="minorHAnsi" w:cstheme="minorHAnsi"/>
          <w:sz w:val="20"/>
        </w:rPr>
        <w:t xml:space="preserve">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w:t>
      </w:r>
      <w:r w:rsidRPr="00F352A5">
        <w:rPr>
          <w:rFonts w:asciiTheme="minorHAnsi" w:hAnsiTheme="minorHAnsi" w:cstheme="minorHAnsi"/>
          <w:sz w:val="20"/>
        </w:rPr>
        <w:lastRenderedPageBreak/>
        <w:t>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F34A11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B6A0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B6A05">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5D261F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D09AD">
          <w:rPr>
            <w:rFonts w:asciiTheme="minorHAnsi" w:hAnsiTheme="minorHAnsi" w:cstheme="minorHAnsi"/>
            <w:sz w:val="18"/>
            <w:szCs w:val="18"/>
          </w:rPr>
          <w:t>POST/DYS/OLD/GZ/01934/2025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7CD1323B" w:rsidR="006A25A9" w:rsidRDefault="006A25A9" w:rsidP="0013114B">
    <w:pPr>
      <w:pStyle w:val="Nagwek"/>
      <w:tabs>
        <w:tab w:val="clear" w:pos="4536"/>
        <w:tab w:val="clear" w:pos="9072"/>
        <w:tab w:val="left" w:pos="2038"/>
      </w:tabs>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88C03E3" wp14:editId="3F10CEA3">
          <wp:simplePos x="0" y="0"/>
          <wp:positionH relativeFrom="column">
            <wp:posOffset>-2162175</wp:posOffset>
          </wp:positionH>
          <wp:positionV relativeFrom="paragraph">
            <wp:posOffset>161290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114B">
      <w:rPr>
        <w:rFonts w:asciiTheme="minorHAnsi" w:hAnsiTheme="minorHAnsi" w:cstheme="minorHAnsi"/>
        <w:noProof/>
        <w:sz w:val="18"/>
        <w:szCs w:val="18"/>
        <w:lang w:eastAsia="pl-PL"/>
      </w:rPr>
      <w:drawing>
        <wp:inline distT="0" distB="0" distL="0" distR="0" wp14:anchorId="2ADA5AE5" wp14:editId="4CD2A105">
          <wp:extent cx="878205" cy="682625"/>
          <wp:effectExtent l="0" t="0" r="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8205" cy="682625"/>
                  </a:xfrm>
                  <a:prstGeom prst="rect">
                    <a:avLst/>
                  </a:prstGeom>
                  <a:noFill/>
                </pic:spPr>
              </pic:pic>
            </a:graphicData>
          </a:graphic>
        </wp:inline>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Content>
        <w:r w:rsidR="00FD09AD" w:rsidRPr="00FD09AD">
          <w:rPr>
            <w:rFonts w:asciiTheme="minorHAnsi" w:hAnsiTheme="minorHAnsi" w:cstheme="minorHAnsi"/>
            <w:sz w:val="18"/>
            <w:szCs w:val="18"/>
          </w:rPr>
          <w:t>POST/DYS/OLD/GZ/01934/2025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14B"/>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310A"/>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0E6"/>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A4B"/>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B6A0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029"/>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9AD"/>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SUKCESYWNE.docx</dmsv2BaseFileName>
    <dmsv2BaseDisplayName xmlns="http://schemas.microsoft.com/sharepoint/v3">Załącznik nr 2 do SWZ - Warunki udziału w postepowaniu SUKCESYWNE</dmsv2BaseDisplayName>
    <dmsv2SWPP2ObjectNumber xmlns="http://schemas.microsoft.com/sharepoint/v3">POST/DYS/OLD/GZ/01934/2025                        </dmsv2SWPP2ObjectNumber>
    <dmsv2SWPP2SumMD5 xmlns="http://schemas.microsoft.com/sharepoint/v3">c83b85336193f8a16aee11ad1387722b</dmsv2SWPP2SumMD5>
    <dmsv2BaseMoved xmlns="http://schemas.microsoft.com/sharepoint/v3">false</dmsv2BaseMoved>
    <dmsv2BaseIsSensitive xmlns="http://schemas.microsoft.com/sharepoint/v3">true</dmsv2BaseIsSensitive>
    <dmsv2SWPP2IDSWPP2 xmlns="http://schemas.microsoft.com/sharepoint/v3">681571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22549261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M37YNRNYPV7A-1513220467-13572</_dlc_DocId>
    <_dlc_DocIdUrl xmlns="a19cb1c7-c5c7-46d4-85ae-d83685407bba">
      <Url>https://swpp2.dms.gkpge.pl/sites/37/_layouts/15/DocIdRedir.aspx?ID=M37YNRNYPV7A-1513220467-13572</Url>
      <Description>M37YNRNYPV7A-1513220467-13572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B6109BB-431D-4CA4-92A3-28655D8F17DA}"/>
</file>

<file path=customXml/itemProps6.xml><?xml version="1.0" encoding="utf-8"?>
<ds:datastoreItem xmlns:ds="http://schemas.openxmlformats.org/officeDocument/2006/customXml" ds:itemID="{BBF4028C-2656-447D-9938-9B181D953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3662</Words>
  <Characters>21974</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POST/DYS/OLD/GZ/01934/2025</dc:subject>
  <dc:creator>Kurpiewska Katarzyna [PGE S.A.]</dc:creator>
  <cp:lastModifiedBy>Jarosz Klaudia [PGE Dystr. O.Łódź]</cp:lastModifiedBy>
  <cp:revision>26</cp:revision>
  <cp:lastPrinted>2021-08-10T08:10:00Z</cp:lastPrinted>
  <dcterms:created xsi:type="dcterms:W3CDTF">2022-04-28T07:16:00Z</dcterms:created>
  <dcterms:modified xsi:type="dcterms:W3CDTF">2025-05-26T09:07:00Z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3c6bc7b4-adb8-4f23-be65-14bec85b569e</vt:lpwstr>
  </property>
</Properties>
</file>