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>Przeprowadzenie wszystkich niezbędnych prac demont</w:t>
      </w:r>
      <w:bookmarkStart w:id="0" w:name="_GoBack"/>
      <w:bookmarkEnd w:id="0"/>
      <w:r w:rsidRPr="0097238F">
        <w:rPr>
          <w:color w:val="000000" w:themeColor="text1"/>
        </w:rPr>
        <w:t xml:space="preserve">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1" w:name="_Toc312846236"/>
      <w:r w:rsidRPr="0097238F">
        <w:rPr>
          <w:color w:val="000000" w:themeColor="text1"/>
        </w:rPr>
        <w:t>Stan projektowany</w:t>
      </w:r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AD2BAD" w:rsidRPr="006C220B" w:rsidRDefault="000869A4" w:rsidP="005452DA">
      <w:pPr>
        <w:ind w:left="0" w:firstLine="0"/>
        <w:rPr>
          <w:rFonts w:cs="Calibri"/>
          <w:b/>
          <w:sz w:val="22"/>
          <w:szCs w:val="22"/>
        </w:rPr>
      </w:pPr>
      <w:r w:rsidRPr="006C220B">
        <w:rPr>
          <w:rFonts w:ascii="Calibri" w:hAnsi="Calibri" w:cs="Calibri"/>
          <w:b/>
          <w:sz w:val="22"/>
          <w:szCs w:val="22"/>
        </w:rPr>
        <w:t>Wyko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nanie dokumentacji projektowej </w:t>
      </w:r>
      <w:r w:rsidRPr="006C220B">
        <w:rPr>
          <w:rFonts w:ascii="Calibri" w:hAnsi="Calibri" w:cs="Calibri"/>
          <w:b/>
          <w:sz w:val="22"/>
          <w:szCs w:val="22"/>
        </w:rPr>
        <w:t xml:space="preserve">oraz wymianę istniejącej linii napowietrznej </w:t>
      </w:r>
      <w:proofErr w:type="spellStart"/>
      <w:r w:rsidRPr="006C220B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6C220B">
        <w:rPr>
          <w:rFonts w:ascii="Calibri" w:hAnsi="Calibri" w:cs="Calibri"/>
          <w:b/>
          <w:sz w:val="22"/>
          <w:szCs w:val="22"/>
        </w:rPr>
        <w:t xml:space="preserve"> wraz przyłączami  </w:t>
      </w:r>
      <w:r w:rsidR="00530834" w:rsidRPr="006C220B">
        <w:rPr>
          <w:rFonts w:ascii="Calibri" w:hAnsi="Calibri" w:cs="Calibri"/>
          <w:b/>
          <w:sz w:val="22"/>
          <w:szCs w:val="22"/>
        </w:rPr>
        <w:t xml:space="preserve">na </w:t>
      </w:r>
      <w:r w:rsidRPr="006C220B">
        <w:rPr>
          <w:rFonts w:ascii="Calibri" w:hAnsi="Calibri" w:cs="Calibri"/>
          <w:b/>
          <w:sz w:val="22"/>
          <w:szCs w:val="22"/>
        </w:rPr>
        <w:t xml:space="preserve">terenie Rejonu Energetycznego 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Żyrardów – obręb stacji </w:t>
      </w:r>
      <w:proofErr w:type="spellStart"/>
      <w:r w:rsidR="00081B67" w:rsidRPr="00081B67">
        <w:rPr>
          <w:rFonts w:ascii="Calibri" w:hAnsi="Calibri" w:cs="Calibri"/>
          <w:b/>
          <w:sz w:val="22"/>
          <w:szCs w:val="22"/>
        </w:rPr>
        <w:t>Gacpary</w:t>
      </w:r>
      <w:proofErr w:type="spellEnd"/>
      <w:r w:rsidR="00081B67" w:rsidRPr="00081B67">
        <w:rPr>
          <w:rFonts w:ascii="Calibri" w:hAnsi="Calibri" w:cs="Calibri"/>
          <w:b/>
          <w:sz w:val="22"/>
          <w:szCs w:val="22"/>
        </w:rPr>
        <w:t xml:space="preserve"> (22-1279) </w:t>
      </w:r>
      <w:r w:rsidR="00945F40" w:rsidRPr="00081B67">
        <w:rPr>
          <w:rFonts w:ascii="Calibri" w:hAnsi="Calibri" w:cs="Calibri"/>
          <w:b/>
          <w:sz w:val="22"/>
          <w:szCs w:val="22"/>
        </w:rPr>
        <w:t xml:space="preserve"> gm. </w:t>
      </w:r>
      <w:r w:rsidR="00081B67" w:rsidRPr="00081B67">
        <w:rPr>
          <w:rFonts w:ascii="Calibri" w:hAnsi="Calibri" w:cs="Calibri"/>
          <w:b/>
          <w:sz w:val="22"/>
          <w:szCs w:val="22"/>
        </w:rPr>
        <w:t>Sadkowice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 xml:space="preserve">tanowiska słupowego przewodem </w:t>
      </w:r>
      <w:proofErr w:type="spellStart"/>
      <w:r w:rsidR="006C220B">
        <w:rPr>
          <w:rFonts w:ascii="Calibri" w:hAnsi="Calibri" w:cs="Calibri"/>
          <w:sz w:val="22"/>
          <w:szCs w:val="22"/>
        </w:rPr>
        <w:t>As</w:t>
      </w:r>
      <w:r w:rsidRPr="000C4053">
        <w:rPr>
          <w:rFonts w:ascii="Calibri" w:hAnsi="Calibri" w:cs="Calibri"/>
          <w:sz w:val="22"/>
          <w:szCs w:val="22"/>
        </w:rPr>
        <w:t>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</w:t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 xml:space="preserve">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081B67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24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lastRenderedPageBreak/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lastRenderedPageBreak/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9E4583">
      <w:pPr>
        <w:ind w:left="1701" w:hanging="1344"/>
        <w:jc w:val="left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6C6" w:rsidRDefault="005236C6">
      <w:r>
        <w:separator/>
      </w:r>
    </w:p>
  </w:endnote>
  <w:endnote w:type="continuationSeparator" w:id="0">
    <w:p w:rsidR="005236C6" w:rsidRDefault="0052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742E1">
      <w:rPr>
        <w:noProof/>
      </w:rPr>
      <w:t>5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6C6" w:rsidRDefault="005236C6">
      <w:r>
        <w:separator/>
      </w:r>
    </w:p>
  </w:footnote>
  <w:footnote w:type="continuationSeparator" w:id="0">
    <w:p w:rsidR="005236C6" w:rsidRDefault="0052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058" w:rsidRPr="006D2568" w:rsidRDefault="00605058" w:rsidP="00605058">
    <w:pPr>
      <w:pBdr>
        <w:bottom w:val="dashSmallGap" w:sz="4" w:space="1" w:color="1F497D"/>
      </w:pBdr>
      <w:ind w:left="0" w:firstLine="567"/>
      <w:contextualSpacing/>
      <w:jc w:val="right"/>
      <w:rPr>
        <w:rFonts w:ascii="Arial" w:hAnsi="Arial" w:cs="Arial"/>
        <w:b/>
        <w:noProof/>
        <w:sz w:val="22"/>
        <w:szCs w:val="52"/>
        <w:lang w:eastAsia="en-US"/>
      </w:rPr>
    </w:pPr>
    <w:r w:rsidRPr="006D2568">
      <w:rPr>
        <w:rFonts w:ascii="Arial" w:hAnsi="Arial" w:cs="Arial"/>
        <w:b/>
        <w:noProof/>
        <w:sz w:val="22"/>
        <w:szCs w:val="52"/>
        <w:lang w:eastAsia="en-US"/>
      </w:rPr>
      <w:t>Załącznik nr 1.</w:t>
    </w:r>
    <w:r>
      <w:rPr>
        <w:rFonts w:ascii="Arial" w:hAnsi="Arial" w:cs="Arial"/>
        <w:b/>
        <w:noProof/>
        <w:sz w:val="22"/>
        <w:szCs w:val="52"/>
        <w:lang w:eastAsia="en-US"/>
      </w:rPr>
      <w:t>3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 do SWZ </w:t>
    </w:r>
    <w:r w:rsidR="00D742E1">
      <w:rPr>
        <w:rFonts w:ascii="Arial" w:hAnsi="Arial" w:cs="Arial"/>
        <w:b/>
        <w:noProof/>
        <w:sz w:val="22"/>
        <w:szCs w:val="52"/>
        <w:lang w:eastAsia="en-US"/>
      </w:rPr>
      <w:t>Część 3</w:t>
    </w:r>
    <w:r>
      <w:rPr>
        <w:rFonts w:ascii="Arial" w:hAnsi="Arial" w:cs="Arial"/>
        <w:b/>
        <w:noProof/>
        <w:sz w:val="22"/>
        <w:szCs w:val="52"/>
        <w:lang w:eastAsia="en-US"/>
      </w:rPr>
      <w:t xml:space="preserve"> 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postępowanie nr </w:t>
    </w:r>
    <w:r>
      <w:rPr>
        <w:rFonts w:ascii="Arial" w:hAnsi="Arial" w:cs="Arial"/>
        <w:b/>
        <w:noProof/>
        <w:sz w:val="22"/>
        <w:szCs w:val="52"/>
        <w:lang w:eastAsia="en-US"/>
      </w:rPr>
      <w:t>POST/DYS/OLD/GZ/01881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>/2025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6B96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B67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3F9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6C6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058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4B25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C45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583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42E1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4B455A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3 Specyfikacja techniczna  przebudowa linii.docx</dmsv2BaseFileName>
    <dmsv2BaseDisplayName xmlns="http://schemas.microsoft.com/sharepoint/v3">Załącznik nr 1.3 Część 3 Specyfikacja techniczna  przebudowa linii</dmsv2BaseDisplayName>
    <dmsv2SWPP2ObjectNumber xmlns="http://schemas.microsoft.com/sharepoint/v3">POST/DYS/OLD/GZ/01881/2025                        </dmsv2SWPP2ObjectNumber>
    <dmsv2SWPP2SumMD5 xmlns="http://schemas.microsoft.com/sharepoint/v3">aaf1c207694a01be78a43ae515022b7b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22531441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M37YNRNYPV7A-1513220467-1481</_dlc_DocId>
    <_dlc_DocIdUrl xmlns="a19cb1c7-c5c7-46d4-85ae-d83685407bba">
      <Url>https://swpp2.dms.gkpge.pl/sites/37/_layouts/15/DocIdRedir.aspx?ID=M37YNRNYPV7A-1513220467-1481</Url>
      <Description>M37YNRNYPV7A-1513220467-1481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B69E6-5443-4A77-BB7C-9418F4C51F7B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79DC918-999F-473C-A6D4-8CA7612E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1620</Words>
  <Characters>11333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Płomińska-Gorzkiewicz Katarzyna [PGE Dystr. O.Łódź]</cp:lastModifiedBy>
  <cp:revision>13</cp:revision>
  <cp:lastPrinted>2011-10-20T15:55:00Z</cp:lastPrinted>
  <dcterms:created xsi:type="dcterms:W3CDTF">2025-05-06T07:42:00Z</dcterms:created>
  <dcterms:modified xsi:type="dcterms:W3CDTF">2025-05-23T09:44:00Z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20f8f7ee-cdbc-45fc-bffc-856e4274d80b</vt:lpwstr>
  </property>
</Properties>
</file>