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786C81" w:rsidRDefault="00786C81" w:rsidP="00786C81">
      <w:pPr>
        <w:pStyle w:val="Nagwek1"/>
      </w:pPr>
      <w:r w:rsidRPr="00590219">
        <w:t>Zakres zamówienia</w:t>
      </w:r>
    </w:p>
    <w:p w:rsidR="00121410" w:rsidRPr="00590219" w:rsidRDefault="00121410" w:rsidP="00D362D1">
      <w:pPr>
        <w:pStyle w:val="bezpunkw"/>
        <w:keepNext/>
      </w:pPr>
      <w:r w:rsidRPr="00590219">
        <w:t xml:space="preserve">Zakres zamówienia </w:t>
      </w:r>
      <w:r>
        <w:rPr>
          <w:lang w:val="pl-PL"/>
        </w:rPr>
        <w:t xml:space="preserve">określonego powyżej </w:t>
      </w:r>
      <w:r w:rsidRPr="00590219">
        <w:t>obejmuje:</w:t>
      </w:r>
    </w:p>
    <w:p w:rsidR="00121410" w:rsidRPr="00121410" w:rsidRDefault="00121410" w:rsidP="00D362D1">
      <w:pPr>
        <w:pStyle w:val="Styl2"/>
        <w:keepNext/>
      </w:pPr>
      <w:r w:rsidRPr="00121410">
        <w:t>Oprac</w:t>
      </w:r>
      <w:r w:rsidR="000C4FFF">
        <w:t>owanie dokumentacji projektowej</w:t>
      </w:r>
      <w:r w:rsidR="00C040AB">
        <w:rPr>
          <w:lang w:val="pl-PL"/>
        </w:rPr>
        <w:t xml:space="preserve"> – projektu technicznego</w:t>
      </w:r>
      <w:r w:rsidR="000C4FFF"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>
        <w:rPr>
          <w:lang w:val="pl-PL"/>
        </w:rPr>
        <w:t>Realizację robót budowlano-</w:t>
      </w:r>
      <w:r w:rsidRPr="00590219">
        <w:rPr>
          <w:lang w:val="pl-PL"/>
        </w:rPr>
        <w:t>montażowych</w:t>
      </w:r>
      <w:r>
        <w:rPr>
          <w:lang w:val="pl-PL"/>
        </w:rPr>
        <w:t>,</w:t>
      </w:r>
    </w:p>
    <w:p w:rsidR="00121410" w:rsidRPr="00201B52" w:rsidRDefault="00121410" w:rsidP="00D362D1">
      <w:pPr>
        <w:pStyle w:val="Styl2"/>
        <w:keepNext/>
      </w:pPr>
      <w:r w:rsidRPr="00590219">
        <w:t>Dostawę wszystkich materiałów ni</w:t>
      </w:r>
      <w:r>
        <w:t>ezbędnych do realizacji zadania</w:t>
      </w:r>
      <w:r>
        <w:rPr>
          <w:lang w:val="pl-PL"/>
        </w:rPr>
        <w:t>,</w:t>
      </w:r>
      <w:r w:rsidRPr="00590219">
        <w:t xml:space="preserve"> </w:t>
      </w:r>
    </w:p>
    <w:p w:rsidR="00121410" w:rsidRPr="00590219" w:rsidRDefault="00121410" w:rsidP="00D362D1">
      <w:pPr>
        <w:pStyle w:val="Styl2"/>
        <w:keepNext/>
      </w:pPr>
      <w:r w:rsidRPr="00590219">
        <w:t>Przeprowadzenie wszystkich niezbędnych prac demontażowych i utylizacyjnych</w:t>
      </w:r>
      <w:r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 w:rsidRPr="00590219">
        <w:t>Przeprowadzenie prac pomiarowych, badań pomontażowych, oraz uczestniczenie w pracach odbiorowych</w:t>
      </w:r>
      <w:r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 w:rsidRPr="00590219">
        <w:t>Przygotowanie dokumentacji powykonawczej</w:t>
      </w:r>
      <w:r>
        <w:rPr>
          <w:lang w:val="pl-PL"/>
        </w:rPr>
        <w:t>.</w:t>
      </w:r>
    </w:p>
    <w:p w:rsidR="00121410" w:rsidRDefault="00121410" w:rsidP="00786C81">
      <w:pPr>
        <w:pStyle w:val="Nagwek1"/>
        <w:rPr>
          <w:lang w:val="pl-PL"/>
        </w:rPr>
      </w:pPr>
      <w:bookmarkStart w:id="0" w:name="_Toc312846236"/>
      <w:r w:rsidRPr="003E399F">
        <w:t>Stan projektowany</w:t>
      </w:r>
      <w:bookmarkEnd w:id="0"/>
    </w:p>
    <w:p w:rsidR="00121410" w:rsidRDefault="00121410" w:rsidP="00D362D1">
      <w:pPr>
        <w:keepNext/>
        <w:rPr>
          <w:rFonts w:ascii="Calibri" w:hAnsi="Calibri"/>
          <w:b/>
          <w:sz w:val="22"/>
          <w:szCs w:val="22"/>
          <w:u w:val="single"/>
        </w:rPr>
      </w:pPr>
      <w:r w:rsidRPr="00A93CA7">
        <w:rPr>
          <w:rFonts w:ascii="Calibri" w:hAnsi="Calibri"/>
          <w:b/>
          <w:sz w:val="22"/>
          <w:szCs w:val="22"/>
          <w:u w:val="single"/>
        </w:rPr>
        <w:t>Zadanie obejmuje: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643C18">
        <w:rPr>
          <w:rFonts w:ascii="Calibri" w:eastAsia="Calibri" w:hAnsi="Calibri" w:cs="Calibri"/>
          <w:b/>
          <w:sz w:val="22"/>
          <w:szCs w:val="22"/>
          <w:lang w:eastAsia="en-US"/>
        </w:rPr>
        <w:t>Modernizacja pola 15kV nr 23 w stacji 110/15 kV Słupia: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>1.</w:t>
      </w:r>
      <w:r w:rsidRPr="00643C18">
        <w:rPr>
          <w:rFonts w:ascii="Calibri" w:eastAsia="Calibri" w:hAnsi="Calibri"/>
          <w:b/>
          <w:lang w:eastAsia="en-US"/>
        </w:rPr>
        <w:tab/>
        <w:t>Rekonfiguracja/wyposażenie zabezpieczenia w celu realizacji dodatkowych funkcji zabezpieczeniowych: U&gt;, U&lt;, f&gt;, f&lt;, df/dt, od mocy zwrotnej oraz kontrolą synchronizmu, SCO rozproszone z blokadą od mocy zwrotnej, pomiary należy wyświetlić na wyświetlaczu przekaźnika. Należy zrealizować postanowienia instrukcji nr 30171/A.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>2.</w:t>
      </w:r>
      <w:r w:rsidRPr="00643C18">
        <w:rPr>
          <w:rFonts w:ascii="Calibri" w:eastAsia="Calibri" w:hAnsi="Calibri"/>
          <w:b/>
          <w:lang w:eastAsia="en-US"/>
        </w:rPr>
        <w:tab/>
        <w:t>Należy zabudować komplet przekładników napięciowych wraz z bezpiecznikami (przekładniki w izolacji stałej o przekładni 15/(V3)/0,1/(V3)0,1/(V3)/0,1/3 kV, klasa dokładności rdzeni: I rdzeń-0,2 , II rdzeń -1/3P, III rdzeń – 3P otwarty trójkąt, przekładniki wyposażone w podstawy bezpiecznikowe wraz z bezpiecznikami, przekładniki należy zabezpieczyć przed ferrorezonansem (np. zastosować urządzenia VT guard PRO).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>3.</w:t>
      </w:r>
      <w:r w:rsidRPr="00643C18">
        <w:rPr>
          <w:rFonts w:ascii="Calibri" w:eastAsia="Calibri" w:hAnsi="Calibri"/>
          <w:b/>
          <w:lang w:eastAsia="en-US"/>
        </w:rPr>
        <w:tab/>
        <w:t>Należy sprawdzić i ewentualnie wymienić w polu: wszystkie sterowniki pakietowe (łączniki krzywkowe itd), oprzewodowanie, listwy (w tym listwę obwodów okrężnych), bezpieczniki, nakładki, przyciski sterownicze itd.,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>4.</w:t>
      </w:r>
      <w:r w:rsidRPr="00643C18">
        <w:rPr>
          <w:rFonts w:ascii="Calibri" w:eastAsia="Calibri" w:hAnsi="Calibri"/>
          <w:b/>
          <w:lang w:eastAsia="en-US"/>
        </w:rPr>
        <w:tab/>
        <w:t>Zamontować listwę kontrolną pomiarową,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>5.</w:t>
      </w:r>
      <w:r w:rsidRPr="00643C18">
        <w:rPr>
          <w:rFonts w:ascii="Calibri" w:eastAsia="Calibri" w:hAnsi="Calibri"/>
          <w:b/>
          <w:lang w:eastAsia="en-US"/>
        </w:rPr>
        <w:tab/>
        <w:t>Przekonfigurować/doposażyć sterownik telemechaniki wraz z edycją w systemie WindEx,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>6.</w:t>
      </w:r>
      <w:r w:rsidRPr="00643C18">
        <w:rPr>
          <w:rFonts w:ascii="Calibri" w:eastAsia="Calibri" w:hAnsi="Calibri"/>
          <w:b/>
          <w:lang w:eastAsia="en-US"/>
        </w:rPr>
        <w:tab/>
        <w:t>Wykonanie dokumentacji technicznej ww. pola 15 kV (w zakresie całego pola),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>7.</w:t>
      </w:r>
      <w:r w:rsidRPr="00643C18">
        <w:rPr>
          <w:rFonts w:ascii="Calibri" w:eastAsia="Calibri" w:hAnsi="Calibri"/>
          <w:b/>
          <w:lang w:eastAsia="en-US"/>
        </w:rPr>
        <w:tab/>
        <w:t>Wykonać obliczenie nastaw dla pola 15 kV,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>8.</w:t>
      </w:r>
      <w:r w:rsidRPr="00643C18">
        <w:rPr>
          <w:rFonts w:ascii="Calibri" w:eastAsia="Calibri" w:hAnsi="Calibri"/>
          <w:b/>
          <w:lang w:eastAsia="en-US"/>
        </w:rPr>
        <w:tab/>
        <w:t>Pole po wykonanych pracach należy pozostawić w pełni sprawne,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>9.</w:t>
      </w:r>
      <w:r w:rsidRPr="00643C18">
        <w:rPr>
          <w:rFonts w:ascii="Calibri" w:eastAsia="Calibri" w:hAnsi="Calibri"/>
          <w:b/>
          <w:lang w:eastAsia="en-US"/>
        </w:rPr>
        <w:tab/>
        <w:t>Zdemontowane wyposażenie przekazać do Wydziału Specjalistycznego lub zutylizować po uzgodnieniu z ww. Wydziałem,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 xml:space="preserve">W zakresie łączności: 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 xml:space="preserve"> dostarczyć i zainstalować w szafie łączności (SUT) serwer portów szeregowych z szyfrowaną 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 xml:space="preserve">transmisją danych (seria 6xxx), min. 16 portów, zasilanie 48VDC. 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 xml:space="preserve"> w przypadku realizacji transmisji przez sieć GSM zastosować modem/router zgodny ze 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 xml:space="preserve">specyfikacją: 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 xml:space="preserve"> możliwość pracy 2 karty SIM (jedna karta działa jako podstawowa droga transmisji a druga 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lastRenderedPageBreak/>
        <w:t xml:space="preserve">zapewnia redundancję połączenia jeśli przez pierwszą nie ma połączenia) 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 xml:space="preserve"> 1 wejście antenowe; 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 xml:space="preserve"> Interfejs ETH 1 x 10/100 Mbps; 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 xml:space="preserve"> zasilanie 9 – 48 V DC; 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 xml:space="preserve"> temperatura pracy w zakresie od  -25 do +60°C; 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 xml:space="preserve"> klasa szczelności co najmniej IP30; 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 xml:space="preserve"> montaż na szynie DIN; 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 xml:space="preserve"> obsługa GPRS/3G/LTE i LTE 450; 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 xml:space="preserve"> IPsec /VPN/GRE/L2TP/PPTP; 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 xml:space="preserve"> zarządzanie przez serwer, lokalnie poprzez LAN, oraz zdalnie poprzez WAN; 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 xml:space="preserve"> konfiguracja WEB serwer, SSH, kopia zapasowa i odtwarzanie konfiguracji; 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> protokoły PPP, PPPoE, TCP, UDP, DHCP, ICMP, NAT,  HTTPs, DNS, ARP, NTP, SMTP, VLAN, SSH2, DDNS, LwM2M, TR069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>Układy pomiarowe bilansowo-kontrolne w stacjach WN/SN powinny spełniać wymagania obowiązującej IRiESD i obowiązujących WBSE Tom 7  w szczególności: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>Muszą być wyposażone w przekładniki prądowe o rdzeniach pomiarowych w klasie dokładności nie gorszej niż 0,2s  i napięciowe o  uzwojeniach pomiarowych w klasie dokładności nie gorszej niż 0,2 z dedykowanymi rdzeniami/uzwojeniami pomiarowymi  z uwzględnieniem możliwie najmniejszej liczby łączeń do licznikowych listew kontrolno-pomiarowych przystosowanych do plombowania.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>2.</w:t>
      </w:r>
      <w:r w:rsidRPr="00643C18">
        <w:rPr>
          <w:rFonts w:ascii="Calibri" w:eastAsia="Calibri" w:hAnsi="Calibri"/>
          <w:b/>
          <w:lang w:eastAsia="en-US"/>
        </w:rPr>
        <w:tab/>
        <w:t xml:space="preserve"> Przekładniki napięciowe w układach bilansowo-kontrolnych należy zabezpieczyć po stronie uzwojenia wtórnego.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>3.</w:t>
      </w:r>
      <w:r w:rsidRPr="00643C18">
        <w:rPr>
          <w:rFonts w:ascii="Calibri" w:eastAsia="Calibri" w:hAnsi="Calibri"/>
          <w:b/>
          <w:lang w:eastAsia="en-US"/>
        </w:rPr>
        <w:tab/>
        <w:t xml:space="preserve"> Nie należy stosować rezystorów dociążających dla przekładników napięciowych oraz prądowych. (poza technicznie niezbędnymi i uzasadnionymi przypadkami)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>4.</w:t>
      </w:r>
      <w:r w:rsidRPr="00643C18">
        <w:rPr>
          <w:rFonts w:ascii="Calibri" w:eastAsia="Calibri" w:hAnsi="Calibri"/>
          <w:b/>
          <w:lang w:eastAsia="en-US"/>
        </w:rPr>
        <w:tab/>
        <w:t xml:space="preserve"> Współczynnik bezpieczeństwa przyrządu (FS) dla przekładników prądowych w układach pomiarowych powinien być ≤5.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>5.</w:t>
      </w:r>
      <w:r w:rsidRPr="00643C18">
        <w:rPr>
          <w:rFonts w:ascii="Calibri" w:eastAsia="Calibri" w:hAnsi="Calibri"/>
          <w:b/>
          <w:lang w:eastAsia="en-US"/>
        </w:rPr>
        <w:tab/>
        <w:t xml:space="preserve"> Liczniki energii elektrycznej muszą być  statyczne, czterokwadrantowe, wielostrefowe, 3-fazowe z wbudowanym zegarem sterującym, wykonanie zgodne z obowiązującymi na obszarze Rzeczpospolitej Polskiej przepisami. Powinny mieć klasę dokładności nie gorszą niż C dla pomiaru energii czynnej nie gorszą niż 1 lub 1S dla pomiaru energii biernej. Dodatkowo muszą mieć możliwość zdalnej i lokalnej zmiany metody pomiaru i rejestracji energii z metody wektorowej na metodę arytmetyczną, rejestracje i przechowywanie w pamięci pomiarów wymaganych profili obciążenia oraz zapewniać odczyt lokalny w przypadku awarii łączy transmisyjnych lub w celach kontrolnych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>6.</w:t>
      </w:r>
      <w:r w:rsidRPr="00643C18">
        <w:rPr>
          <w:rFonts w:ascii="Calibri" w:eastAsia="Calibri" w:hAnsi="Calibri"/>
          <w:b/>
          <w:lang w:eastAsia="en-US"/>
        </w:rPr>
        <w:tab/>
        <w:t>Muszą posiadać najmniej dwa niezależne interfejsy elektryczne typu RS485 lub RS 232 oraz port Ethernet (LAN)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>7.</w:t>
      </w:r>
      <w:r w:rsidRPr="00643C18">
        <w:rPr>
          <w:rFonts w:ascii="Calibri" w:eastAsia="Calibri" w:hAnsi="Calibri"/>
          <w:b/>
          <w:lang w:eastAsia="en-US"/>
        </w:rPr>
        <w:tab/>
        <w:t xml:space="preserve"> Z liczników energii elektrycznej należy wyprowadzić zdalną transmisję danych pomiarowych dwutorową.  Interfejs Ethernet 10/100 Mbps (gniazdo RJ-45) jako drogę podstawową oraz gprs (w technologii LTE 450+4G) jako rezerwową drogę transmisji danych  za pośrednictwem wyjść cyfrowych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>Układy pomiarowe należy instalować w oddzielnych szafach pomiarowych zlokalizowanych w pomieszczeniach nastawni. Nie dopuszczamy pod żadnym pozorem montażu liczniku w celce pola 15 kV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lastRenderedPageBreak/>
        <w:t>9.</w:t>
      </w:r>
      <w:r w:rsidRPr="00643C18">
        <w:rPr>
          <w:rFonts w:ascii="Calibri" w:eastAsia="Calibri" w:hAnsi="Calibri"/>
          <w:b/>
          <w:lang w:eastAsia="en-US"/>
        </w:rPr>
        <w:tab/>
        <w:t xml:space="preserve"> Listwy kontrolno-pomiarowe muszą posiadać zaciski sprężynowe do podłączania obwodów wtórnych układów pomiarowych zabezpieczania (w postaci bezpieczników topikowych) w torach napięciowych jeżeli warunki zwarciowe tego wymagają, powinny umożliwiać połącznie urządzenia kontrolnego (np. analizator obwodów trójfazowych, licznik kontrolny)</w:t>
      </w:r>
    </w:p>
    <w:p w:rsidR="00643C18" w:rsidRPr="00643C18" w:rsidRDefault="00643C18" w:rsidP="00643C18">
      <w:pPr>
        <w:spacing w:before="0" w:after="160" w:line="259" w:lineRule="auto"/>
        <w:ind w:left="0" w:firstLine="0"/>
        <w:rPr>
          <w:rFonts w:ascii="Calibri" w:eastAsia="Calibri" w:hAnsi="Calibri"/>
          <w:b/>
          <w:lang w:eastAsia="en-US"/>
        </w:rPr>
      </w:pPr>
      <w:r w:rsidRPr="00643C18">
        <w:rPr>
          <w:rFonts w:ascii="Calibri" w:eastAsia="Calibri" w:hAnsi="Calibri"/>
          <w:b/>
          <w:lang w:eastAsia="en-US"/>
        </w:rPr>
        <w:t>Uwaga: Wszystkie urządzenia, elementy układów pomiarowych dostarcza wykonawca.</w:t>
      </w:r>
    </w:p>
    <w:p w:rsidR="00643C18" w:rsidRPr="00643C18" w:rsidRDefault="00643C18" w:rsidP="00643C18">
      <w:pPr>
        <w:spacing w:before="0" w:after="200" w:line="276" w:lineRule="auto"/>
        <w:ind w:left="0" w:firstLine="0"/>
        <w:jc w:val="left"/>
        <w:rPr>
          <w:rFonts w:ascii="Calibri" w:eastAsia="Calibri" w:hAnsi="Calibri" w:cs="Calibri"/>
          <w:b/>
          <w:color w:val="FF0000"/>
          <w:sz w:val="22"/>
          <w:szCs w:val="22"/>
          <w:lang w:eastAsia="en-US"/>
        </w:rPr>
      </w:pPr>
      <w:r w:rsidRPr="00643C18">
        <w:rPr>
          <w:rFonts w:ascii="Calibri" w:eastAsia="Calibri" w:hAnsi="Calibri" w:cs="Calibri"/>
          <w:b/>
          <w:color w:val="FF0000"/>
          <w:sz w:val="22"/>
          <w:szCs w:val="22"/>
          <w:lang w:eastAsia="en-US"/>
        </w:rPr>
        <w:t>Po zakończeniu prac Wykonawca zobowiązany jest do wykonania testów układu SCO zakończonego protokołem odbioru zgodnie z INST 30171/A – zał. nr 3 do instrukcji</w:t>
      </w:r>
    </w:p>
    <w:p w:rsidR="004D3A15" w:rsidRPr="004D3A15" w:rsidRDefault="00643C18" w:rsidP="00643C18">
      <w:pPr>
        <w:pStyle w:val="Nagwek1"/>
        <w:numPr>
          <w:ilvl w:val="0"/>
          <w:numId w:val="0"/>
        </w:numPr>
        <w:ind w:left="432"/>
        <w:rPr>
          <w:lang w:val="pl-PL"/>
        </w:rPr>
      </w:pPr>
      <w:r w:rsidRPr="00643C18">
        <w:rPr>
          <w:rFonts w:eastAsia="Calibri" w:cs="Calibri"/>
          <w:color w:val="FF0000"/>
          <w:sz w:val="22"/>
          <w:szCs w:val="22"/>
          <w:lang w:val="pl-PL" w:eastAsia="en-US"/>
        </w:rPr>
        <w:t xml:space="preserve"> Czas zadziałania SCO, mierzony od chwili przekroczenia nastawionego progu działania przez opadającą częstotliwość, do chwili zamknięcia zestyku sterującego wyłącznikiem, zapewniający równocześnie odporność przekaźnika SCO na zakłócenia występujące w sieci inne niż opadająca w wyniku deficytu mocy czynnej częstotliwość, powinien być mniejszy niż 80ms. Czas ten musi obejmować logikę wyłączania z SCO powiązaną z kierunkiem przepływu mocy czynnej</w:t>
      </w:r>
    </w:p>
    <w:p w:rsidR="00121410" w:rsidRDefault="00121410" w:rsidP="004D3A15">
      <w:pPr>
        <w:pStyle w:val="Nagwek1"/>
        <w:rPr>
          <w:lang w:val="pl-PL"/>
        </w:rPr>
      </w:pPr>
      <w:r w:rsidRPr="00121410">
        <w:rPr>
          <w:lang w:val="pl-PL"/>
        </w:rPr>
        <w:t>Przygotowanie dokumentacji projektowej</w:t>
      </w:r>
    </w:p>
    <w:p w:rsidR="00A71BDA" w:rsidRPr="00A71BDA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1" w:name="_Toc312846238"/>
      <w:r w:rsidRPr="00A71BDA">
        <w:rPr>
          <w:rFonts w:ascii="Calibri" w:hAnsi="Calibri"/>
          <w:b/>
          <w:sz w:val="22"/>
        </w:rPr>
        <w:t>Wymagania ogólne</w:t>
      </w:r>
      <w:bookmarkEnd w:id="1"/>
      <w:r w:rsidR="00E1551C">
        <w:rPr>
          <w:rFonts w:ascii="Calibri" w:hAnsi="Calibri"/>
          <w:b/>
          <w:sz w:val="22"/>
        </w:rPr>
        <w:t xml:space="preserve"> </w:t>
      </w:r>
    </w:p>
    <w:p w:rsidR="00A71BDA" w:rsidRPr="00C040AB" w:rsidRDefault="00C040AB" w:rsidP="00D362D1">
      <w:pPr>
        <w:keepNext/>
        <w:widowControl w:val="0"/>
        <w:numPr>
          <w:ilvl w:val="0"/>
          <w:numId w:val="21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 w:cs="Calibri"/>
          <w:sz w:val="22"/>
          <w:szCs w:val="22"/>
        </w:rPr>
        <w:t xml:space="preserve">Zamówienie w zakresie dokumentacji projektowej </w:t>
      </w:r>
      <w:r w:rsidRPr="00B33F1C">
        <w:rPr>
          <w:rFonts w:ascii="Calibri" w:hAnsi="Calibri"/>
          <w:sz w:val="22"/>
        </w:rPr>
        <w:t>obejmuje</w:t>
      </w:r>
      <w:r>
        <w:rPr>
          <w:rFonts w:ascii="Calibri" w:hAnsi="Calibri"/>
          <w:sz w:val="22"/>
        </w:rPr>
        <w:t xml:space="preserve"> przygotowanie projektu technicznego </w:t>
      </w:r>
      <w:r w:rsidRPr="00B33F1C">
        <w:rPr>
          <w:rFonts w:ascii="Calibri" w:hAnsi="Calibri"/>
          <w:sz w:val="22"/>
        </w:rPr>
        <w:t>dla budowy</w:t>
      </w:r>
      <w:r w:rsidR="00286B0E">
        <w:rPr>
          <w:rFonts w:ascii="Calibri" w:hAnsi="Calibri"/>
          <w:sz w:val="22"/>
        </w:rPr>
        <w:t>/przebudowy</w:t>
      </w:r>
      <w:r w:rsidRPr="00B33F1C">
        <w:rPr>
          <w:rFonts w:ascii="Calibri" w:hAnsi="Calibri"/>
          <w:sz w:val="22"/>
        </w:rPr>
        <w:t xml:space="preserve"> urządzeń elektroenergetycznych, sporządzonej zgodnie z normami, przepisami, zasadami współczesnej wiedzy technicznej, przepisami BHP</w:t>
      </w:r>
      <w:r>
        <w:rPr>
          <w:rFonts w:ascii="Calibri" w:hAnsi="Calibri"/>
          <w:sz w:val="22"/>
        </w:rPr>
        <w:t>.</w:t>
      </w:r>
    </w:p>
    <w:p w:rsidR="00A71BDA" w:rsidRPr="00C040AB" w:rsidRDefault="00A71BDA" w:rsidP="00D362D1">
      <w:pPr>
        <w:pStyle w:val="Akapitzlist"/>
        <w:keepNext/>
        <w:numPr>
          <w:ilvl w:val="0"/>
          <w:numId w:val="21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bookmarkStart w:id="2" w:name="_Toc312846239"/>
      <w:r w:rsidRPr="00C040AB">
        <w:rPr>
          <w:rFonts w:ascii="Calibri" w:hAnsi="Calibri"/>
          <w:color w:val="000000"/>
          <w:sz w:val="22"/>
          <w:szCs w:val="22"/>
        </w:rPr>
        <w:t xml:space="preserve">Rozwiązania techniczne, zastosowanie materiałów i urządzeń elektroenergetycznych winny być zgodne z obowiązującymi w PGE </w:t>
      </w:r>
      <w:r w:rsidR="007E7402">
        <w:rPr>
          <w:rFonts w:ascii="Calibri" w:hAnsi="Calibri"/>
          <w:color w:val="000000"/>
          <w:sz w:val="22"/>
          <w:szCs w:val="22"/>
        </w:rPr>
        <w:t>Dystrybucja S.A. Oddział Łódź</w:t>
      </w:r>
      <w:r w:rsidRPr="00C040AB">
        <w:rPr>
          <w:rFonts w:ascii="Calibri" w:hAnsi="Calibri"/>
          <w:color w:val="000000"/>
          <w:sz w:val="22"/>
          <w:szCs w:val="22"/>
        </w:rPr>
        <w:t xml:space="preserve"> standardami budowy urządzeń objętych w opracowaniu „Wytyczne do budowy systemów elektroenergetycznych w PGE Dystrybucja S.A”</w:t>
      </w:r>
      <w:r w:rsidR="00286B0E">
        <w:rPr>
          <w:rFonts w:ascii="Calibri" w:hAnsi="Calibri"/>
          <w:color w:val="000000"/>
          <w:sz w:val="22"/>
          <w:szCs w:val="22"/>
        </w:rPr>
        <w:t>.</w:t>
      </w:r>
    </w:p>
    <w:bookmarkEnd w:id="2"/>
    <w:p w:rsidR="00A71BDA" w:rsidRPr="00A71BDA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>Dokumentacja projektowa będzie przedłożona</w:t>
      </w:r>
      <w:r w:rsidR="00A71BDA" w:rsidRPr="00A71BDA">
        <w:rPr>
          <w:rFonts w:ascii="Calibri" w:hAnsi="Calibri"/>
          <w:color w:val="000000"/>
          <w:sz w:val="22"/>
        </w:rPr>
        <w:t xml:space="preserve"> Zamawiającemu do uzgodnień i akceptacji</w:t>
      </w:r>
      <w:r w:rsidR="00E1551C" w:rsidRPr="00E1551C">
        <w:rPr>
          <w:rFonts w:ascii="Calibri" w:hAnsi="Calibri"/>
          <w:color w:val="000000"/>
          <w:sz w:val="22"/>
        </w:rPr>
        <w:t xml:space="preserve"> </w:t>
      </w:r>
      <w:r w:rsidR="00E1551C" w:rsidRPr="00A71BDA">
        <w:rPr>
          <w:rFonts w:ascii="Calibri" w:hAnsi="Calibri"/>
          <w:color w:val="000000"/>
          <w:sz w:val="22"/>
        </w:rPr>
        <w:t>przed zgłoszeniem wykonania robót budowlano –</w:t>
      </w:r>
      <w:r>
        <w:rPr>
          <w:rFonts w:ascii="Calibri" w:hAnsi="Calibri"/>
          <w:color w:val="000000"/>
          <w:sz w:val="22"/>
        </w:rPr>
        <w:t xml:space="preserve"> montażowych i ich rozpoczęciem</w:t>
      </w:r>
      <w:r w:rsidR="00A71BDA" w:rsidRPr="00A71BDA">
        <w:rPr>
          <w:rFonts w:ascii="Calibri" w:hAnsi="Calibri"/>
          <w:color w:val="000000"/>
          <w:sz w:val="22"/>
        </w:rPr>
        <w:t xml:space="preserve">. Uzgodnienie przez Zamawiającego </w:t>
      </w:r>
      <w:r w:rsidR="00E1551C">
        <w:rPr>
          <w:rFonts w:ascii="Calibri" w:hAnsi="Calibri"/>
          <w:color w:val="000000"/>
          <w:sz w:val="22"/>
        </w:rPr>
        <w:t>projektu</w:t>
      </w:r>
      <w:r w:rsidR="00A71BDA" w:rsidRPr="00A71BDA">
        <w:rPr>
          <w:rFonts w:ascii="Calibri" w:hAnsi="Calibri"/>
          <w:color w:val="000000"/>
          <w:sz w:val="22"/>
        </w:rPr>
        <w:t xml:space="preserve"> nie zwalnia Wykonawcy od zrealizowania zakresu prac zgodnie z wiedzą techniczną.</w:t>
      </w:r>
    </w:p>
    <w:p w:rsidR="00A71BDA" w:rsidRPr="00A71BDA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Wykonawca w ramach wykonania przedmiotu umowy zobowiązany jest do pełnienia nadzoru autorskiego na budow</w:t>
      </w:r>
      <w:r w:rsidR="00286B0E">
        <w:rPr>
          <w:rFonts w:ascii="Calibri" w:hAnsi="Calibri"/>
          <w:color w:val="000000"/>
          <w:sz w:val="22"/>
        </w:rPr>
        <w:t>ie realizowanej według wykonanej</w:t>
      </w:r>
      <w:r w:rsidRPr="00A71BDA">
        <w:rPr>
          <w:rFonts w:ascii="Calibri" w:hAnsi="Calibri"/>
          <w:color w:val="000000"/>
          <w:sz w:val="22"/>
        </w:rPr>
        <w:t xml:space="preserve"> przez siebie </w:t>
      </w:r>
      <w:r w:rsidR="00286B0E">
        <w:rPr>
          <w:rFonts w:ascii="Calibri" w:hAnsi="Calibri"/>
          <w:color w:val="000000"/>
          <w:sz w:val="22"/>
        </w:rPr>
        <w:t>dokumentacji projektowej</w:t>
      </w:r>
      <w:r w:rsidRPr="00A71BDA">
        <w:rPr>
          <w:rFonts w:ascii="Calibri" w:hAnsi="Calibri"/>
          <w:color w:val="000000"/>
          <w:sz w:val="22"/>
        </w:rPr>
        <w:t>, w zakresie czynności wynikających z Prawa Budowlanego</w:t>
      </w:r>
      <w:r w:rsidR="00286B0E">
        <w:rPr>
          <w:rFonts w:ascii="Calibri" w:hAnsi="Calibri"/>
          <w:color w:val="000000"/>
          <w:sz w:val="22"/>
        </w:rPr>
        <w:t>.</w:t>
      </w:r>
    </w:p>
    <w:p w:rsidR="00A71BDA" w:rsidRPr="00A71BDA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 xml:space="preserve">W dokumentacji projektowej </w:t>
      </w:r>
      <w:r w:rsidR="00A71BDA" w:rsidRPr="00A71BDA">
        <w:rPr>
          <w:rFonts w:ascii="Calibri" w:hAnsi="Calibri"/>
          <w:color w:val="000000"/>
          <w:sz w:val="22"/>
        </w:rPr>
        <w:t>utrzymać zgodnoś</w:t>
      </w:r>
      <w:r>
        <w:rPr>
          <w:rFonts w:ascii="Calibri" w:hAnsi="Calibri"/>
          <w:color w:val="000000"/>
          <w:sz w:val="22"/>
        </w:rPr>
        <w:t xml:space="preserve">ć nadanych oznakowań, opisów, </w:t>
      </w:r>
      <w:r w:rsidR="00A71BDA" w:rsidRPr="00A71BDA">
        <w:rPr>
          <w:rFonts w:ascii="Calibri" w:hAnsi="Calibri"/>
          <w:color w:val="000000"/>
          <w:sz w:val="22"/>
        </w:rPr>
        <w:t>relacji, identyfikujących urządzenia w terenie.</w:t>
      </w:r>
    </w:p>
    <w:p w:rsidR="00A71BDA" w:rsidRPr="00A71BDA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Wszelką dokumentację należy sporządzić w języku polskim.</w:t>
      </w:r>
    </w:p>
    <w:p w:rsidR="00A71BDA" w:rsidRPr="002E275F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A71BDA">
        <w:rPr>
          <w:rFonts w:asciiTheme="minorHAnsi" w:hAnsiTheme="minorHAnsi" w:cstheme="minorHAnsi"/>
          <w:color w:val="000000" w:themeColor="text1"/>
          <w:sz w:val="22"/>
        </w:rPr>
        <w:t>Dokumentację projektową należy sporządzić w formie papierowej w ilości</w:t>
      </w:r>
      <w:r w:rsidR="002E275F">
        <w:rPr>
          <w:rFonts w:asciiTheme="minorHAnsi" w:hAnsiTheme="minorHAnsi" w:cstheme="minorHAnsi"/>
          <w:color w:val="000000" w:themeColor="text1"/>
          <w:sz w:val="22"/>
        </w:rPr>
        <w:t xml:space="preserve"> zgodnej z zapisami umowy, </w:t>
      </w:r>
      <w:r w:rsidR="002E275F" w:rsidRPr="002E275F">
        <w:rPr>
          <w:rFonts w:asciiTheme="minorHAnsi" w:hAnsiTheme="minorHAnsi" w:cstheme="minorHAnsi"/>
          <w:color w:val="000000" w:themeColor="text1"/>
          <w:sz w:val="22"/>
        </w:rPr>
        <w:t xml:space="preserve">której wzór jest załącznikiem do </w:t>
      </w:r>
      <w:r w:rsidR="00064A37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A71BDA" w:rsidRPr="003638C4" w:rsidRDefault="00A71BDA" w:rsidP="003638C4">
      <w:pPr>
        <w:pStyle w:val="Nagwek1"/>
        <w:rPr>
          <w:szCs w:val="24"/>
          <w:lang w:val="pl-PL"/>
        </w:rPr>
      </w:pPr>
      <w:r w:rsidRPr="00A71BDA">
        <w:rPr>
          <w:szCs w:val="24"/>
        </w:rPr>
        <w:t>Zakres robót</w:t>
      </w:r>
    </w:p>
    <w:p w:rsidR="00B45067" w:rsidRPr="005578D4" w:rsidRDefault="002D0F48" w:rsidP="005578D4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 xml:space="preserve">Wymagania </w:t>
      </w:r>
      <w:r w:rsidR="009E3B2A">
        <w:rPr>
          <w:b/>
          <w:color w:val="auto"/>
        </w:rPr>
        <w:t>dla realizacji robót budowlan</w:t>
      </w:r>
      <w:r w:rsidR="009E3B2A">
        <w:rPr>
          <w:b/>
          <w:color w:val="auto"/>
          <w:lang w:val="pl-PL"/>
        </w:rPr>
        <w:t>o - montażowych</w:t>
      </w:r>
      <w:r w:rsidRPr="00590219">
        <w:rPr>
          <w:b/>
          <w:color w:val="auto"/>
        </w:rPr>
        <w:t>:</w:t>
      </w:r>
    </w:p>
    <w:p w:rsidR="004324CB" w:rsidRPr="004324CB" w:rsidRDefault="001E1B00" w:rsidP="004324CB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 w:rsidRPr="001E1B00">
        <w:rPr>
          <w:rFonts w:ascii="Calibri" w:hAnsi="Calibri"/>
          <w:bCs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4324CB">
        <w:rPr>
          <w:rFonts w:ascii="Calibri" w:hAnsi="Calibri"/>
          <w:b/>
          <w:bCs/>
          <w:sz w:val="22"/>
          <w:szCs w:val="22"/>
          <w:lang w:eastAsia="x-none"/>
        </w:rPr>
        <w:t>8</w:t>
      </w:r>
      <w:r w:rsidRPr="004D3A15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Pr="004D3A15">
        <w:rPr>
          <w:rFonts w:ascii="Calibri" w:hAnsi="Calibri"/>
          <w:b/>
          <w:bCs/>
          <w:sz w:val="22"/>
          <w:szCs w:val="22"/>
          <w:lang w:val="x-none" w:eastAsia="x-none"/>
        </w:rPr>
        <w:t>godzin.</w:t>
      </w:r>
      <w:r w:rsidRPr="001E1B00">
        <w:rPr>
          <w:rFonts w:ascii="Calibri" w:hAnsi="Calibri"/>
          <w:bCs/>
          <w:sz w:val="22"/>
          <w:szCs w:val="22"/>
          <w:lang w:val="x-none" w:eastAsia="x-none"/>
        </w:rPr>
        <w:t xml:space="preserve"> Natomiast </w:t>
      </w:r>
      <w:r w:rsidRPr="001E1B00">
        <w:rPr>
          <w:rFonts w:ascii="Calibri" w:hAnsi="Calibri"/>
          <w:bCs/>
          <w:sz w:val="22"/>
          <w:szCs w:val="22"/>
          <w:lang w:eastAsia="x-none"/>
        </w:rPr>
        <w:t xml:space="preserve">jednorazowa </w:t>
      </w:r>
      <w:r w:rsidRPr="001E1B00">
        <w:rPr>
          <w:rFonts w:ascii="Calibri" w:hAnsi="Calibri"/>
          <w:bCs/>
          <w:sz w:val="22"/>
          <w:szCs w:val="22"/>
          <w:lang w:val="x-none" w:eastAsia="x-none"/>
        </w:rPr>
        <w:t>przerwa nie może przekroczyć</w:t>
      </w:r>
      <w:r w:rsidR="004D3A15">
        <w:rPr>
          <w:rFonts w:ascii="Calibri" w:hAnsi="Calibri"/>
          <w:bCs/>
          <w:i/>
          <w:color w:val="00B050"/>
          <w:sz w:val="22"/>
          <w:szCs w:val="22"/>
          <w:u w:val="dotted"/>
          <w:lang w:eastAsia="x-none"/>
        </w:rPr>
        <w:t xml:space="preserve"> </w:t>
      </w:r>
      <w:r w:rsidR="004324CB">
        <w:rPr>
          <w:rFonts w:ascii="Calibri" w:hAnsi="Calibri"/>
          <w:b/>
          <w:bCs/>
          <w:sz w:val="22"/>
          <w:szCs w:val="22"/>
          <w:lang w:eastAsia="x-none"/>
        </w:rPr>
        <w:t>8</w:t>
      </w:r>
      <w:r w:rsidR="004D3A15" w:rsidRPr="004D3A15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="004D3A15" w:rsidRPr="004D3A15">
        <w:rPr>
          <w:rFonts w:ascii="Calibri" w:hAnsi="Calibri"/>
          <w:b/>
          <w:bCs/>
          <w:sz w:val="22"/>
          <w:szCs w:val="22"/>
          <w:lang w:val="x-none" w:eastAsia="x-none"/>
        </w:rPr>
        <w:t>godzin.</w:t>
      </w:r>
      <w:r w:rsidR="004324CB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</w:p>
    <w:p w:rsidR="001E1B00" w:rsidRPr="000F41E4" w:rsidRDefault="004324CB" w:rsidP="004324CB">
      <w:pPr>
        <w:widowControl w:val="0"/>
        <w:adjustRightInd w:val="0"/>
        <w:spacing w:before="60" w:after="60"/>
        <w:ind w:left="1080" w:firstLine="0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>
        <w:rPr>
          <w:rFonts w:ascii="Calibri" w:hAnsi="Calibri"/>
          <w:b/>
          <w:bCs/>
          <w:sz w:val="22"/>
          <w:szCs w:val="22"/>
          <w:lang w:eastAsia="x-none"/>
        </w:rPr>
        <w:t>UWAGA: (</w:t>
      </w:r>
      <w:r w:rsidRPr="004324CB">
        <w:rPr>
          <w:rFonts w:ascii="Calibri" w:hAnsi="Calibri"/>
          <w:b/>
          <w:bCs/>
          <w:sz w:val="22"/>
          <w:szCs w:val="22"/>
          <w:lang w:eastAsia="x-none"/>
        </w:rPr>
        <w:t xml:space="preserve">Dobudowa  pola </w:t>
      </w:r>
      <w:r>
        <w:rPr>
          <w:rFonts w:ascii="Calibri" w:hAnsi="Calibri"/>
          <w:b/>
          <w:bCs/>
          <w:sz w:val="22"/>
          <w:szCs w:val="22"/>
          <w:lang w:eastAsia="x-none"/>
        </w:rPr>
        <w:t xml:space="preserve">15 kV   w  stacji110/15 KV Słupia    5 dni  – </w:t>
      </w:r>
      <w:r w:rsidRPr="004324CB">
        <w:rPr>
          <w:rFonts w:ascii="Calibri" w:hAnsi="Calibri"/>
          <w:b/>
          <w:bCs/>
          <w:sz w:val="22"/>
          <w:szCs w:val="22"/>
          <w:lang w:eastAsia="x-none"/>
        </w:rPr>
        <w:t>bez wyłączenia sekcji)</w:t>
      </w:r>
      <w:r>
        <w:rPr>
          <w:rFonts w:ascii="Calibri" w:hAnsi="Calibri"/>
          <w:b/>
          <w:bCs/>
          <w:sz w:val="22"/>
          <w:szCs w:val="22"/>
          <w:lang w:eastAsia="x-none"/>
        </w:rPr>
        <w:t>.</w:t>
      </w:r>
    </w:p>
    <w:p w:rsidR="00400AD7" w:rsidRPr="000D395B" w:rsidRDefault="00400AD7" w:rsidP="007572F0">
      <w:pPr>
        <w:pStyle w:val="Styl2"/>
        <w:numPr>
          <w:ilvl w:val="0"/>
          <w:numId w:val="10"/>
        </w:numPr>
      </w:pPr>
      <w:r w:rsidRPr="000D395B">
        <w:t xml:space="preserve">Zamawiający zobowiązuje Wykonawcę </w:t>
      </w:r>
      <w:r w:rsidRPr="000D395B">
        <w:rPr>
          <w:lang w:val="pl-PL"/>
        </w:rPr>
        <w:t>do złożenia</w:t>
      </w:r>
      <w:r w:rsidRPr="000D395B">
        <w:t xml:space="preserve"> w terminie </w:t>
      </w:r>
      <w:r w:rsidRPr="000D395B">
        <w:rPr>
          <w:lang w:val="pl-PL"/>
        </w:rPr>
        <w:t>10</w:t>
      </w:r>
      <w:r w:rsidRPr="000D395B">
        <w:t xml:space="preserve"> dni od momentu zawarcia umowy zgłoszenia i uzgodnienia Harmonogramu planowanych wyłączeń zgodnego ze złożoną ofertą (załącznik nr 1 do umowy)  i warunkami </w:t>
      </w:r>
      <w:r w:rsidR="003E358F" w:rsidRPr="000D395B">
        <w:rPr>
          <w:lang w:val="pl-PL"/>
        </w:rPr>
        <w:t>ogłoszenia</w:t>
      </w:r>
      <w:r w:rsidRPr="000D395B">
        <w:rPr>
          <w:lang w:val="pl-PL"/>
        </w:rPr>
        <w:t>, jednak nie później niż w terminie 21 dni przed planowanym terminem wyłączenia</w:t>
      </w:r>
      <w:r w:rsidRPr="000D395B"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0D395B">
        <w:rPr>
          <w:lang w:val="pl-PL"/>
        </w:rPr>
        <w:t>.</w:t>
      </w:r>
    </w:p>
    <w:p w:rsidR="00920C89" w:rsidRPr="00F93F1D" w:rsidRDefault="00920C89" w:rsidP="00920C89">
      <w:pPr>
        <w:pStyle w:val="Styl2"/>
        <w:numPr>
          <w:ilvl w:val="0"/>
          <w:numId w:val="10"/>
        </w:numPr>
      </w:pPr>
      <w:r w:rsidRPr="00F93F1D">
        <w:rPr>
          <w:lang w:val="pl-PL"/>
        </w:rPr>
        <w:t>Zamawiający zobowiązuje Wykonawcę do planowania i realizowania robót budowlano-montażowych w sieci nN objętych dokumentacją projektową, w sposób maksymalnie wykorzystujący technologie prac pod napięciem w sieci i przy urządzeniach nN. Prace winny być realizowane zgodnie technologiami z</w:t>
      </w:r>
      <w:r>
        <w:rPr>
          <w:lang w:val="pl-PL"/>
        </w:rPr>
        <w:t>awartymi w</w:t>
      </w:r>
      <w:r w:rsidRPr="00F93F1D">
        <w:rPr>
          <w:lang w:val="pl-PL"/>
        </w:rPr>
        <w:t xml:space="preserve"> „Instrukcji organizacji </w:t>
      </w:r>
      <w:r>
        <w:rPr>
          <w:lang w:val="pl-PL"/>
        </w:rPr>
        <w:br/>
      </w:r>
      <w:r w:rsidRPr="00F93F1D">
        <w:rPr>
          <w:lang w:val="pl-PL"/>
        </w:rPr>
        <w:t>i wykonywania prac pod napięciem w sieci dystrybucyjnej o napięciu do 1 kV w PGE Dystrybucja S.A”.</w:t>
      </w:r>
    </w:p>
    <w:p w:rsidR="00920C89" w:rsidRPr="009757F9" w:rsidRDefault="00920C89" w:rsidP="00920C89">
      <w:pPr>
        <w:pStyle w:val="Styl2"/>
        <w:numPr>
          <w:ilvl w:val="0"/>
          <w:numId w:val="10"/>
        </w:numPr>
      </w:pPr>
      <w:r w:rsidRPr="00F93F1D">
        <w:t>Zamawiający zobowiązuje wykonawcę do organizacji prac z wykorzystaniem systemu samod</w:t>
      </w:r>
      <w:r>
        <w:rPr>
          <w:lang w:val="pl-PL"/>
        </w:rPr>
        <w:t>o</w:t>
      </w:r>
      <w:r w:rsidRPr="00F93F1D">
        <w:t xml:space="preserve">puszczeń. Organizacja, zakres i zasady określone </w:t>
      </w:r>
      <w:r>
        <w:rPr>
          <w:lang w:val="pl-PL"/>
        </w:rPr>
        <w:t>zostały</w:t>
      </w:r>
      <w:r w:rsidRPr="00F93F1D">
        <w:t xml:space="preserve"> w </w:t>
      </w:r>
      <w:r w:rsidR="00EB418B">
        <w:t>„Instrukcj</w:t>
      </w:r>
      <w:r w:rsidR="00EB418B">
        <w:rPr>
          <w:lang w:val="pl-PL"/>
        </w:rPr>
        <w:t>i</w:t>
      </w:r>
      <w:r w:rsidRPr="0045757A">
        <w:t xml:space="preserve"> </w:t>
      </w:r>
      <w:r w:rsidRPr="009757F9">
        <w:rPr>
          <w:lang w:val="pl-PL"/>
        </w:rPr>
        <w:t>prowadzenia prac przez firmy zewnętrzne w systemie samodopuszczeń w sieci PGE Dystrybucja S.A</w:t>
      </w:r>
      <w:r w:rsidR="005F3BF8" w:rsidRPr="009757F9">
        <w:rPr>
          <w:lang w:val="pl-PL"/>
        </w:rPr>
        <w:t>. Oddział</w:t>
      </w:r>
      <w:r w:rsidR="00385417" w:rsidRPr="009757F9">
        <w:rPr>
          <w:lang w:val="pl-PL"/>
        </w:rPr>
        <w:t xml:space="preserve"> </w:t>
      </w:r>
      <w:r w:rsidR="005F3BF8" w:rsidRPr="009757F9">
        <w:t>Łódź</w:t>
      </w:r>
      <w:r w:rsidRPr="009757F9">
        <w:t>”</w:t>
      </w:r>
    </w:p>
    <w:p w:rsidR="00920C89" w:rsidRPr="009757F9" w:rsidRDefault="00920C89" w:rsidP="00786C81">
      <w:pPr>
        <w:pStyle w:val="Styl2"/>
        <w:numPr>
          <w:ilvl w:val="0"/>
          <w:numId w:val="10"/>
        </w:numPr>
      </w:pPr>
      <w:r w:rsidRPr="009757F9">
        <w:t>Wykonawca zapewnia prowadzenie prac na placu budowy pod nadzorem kierownika budowy wykonywanym w sposób ciągły</w:t>
      </w:r>
      <w:r w:rsidRPr="009757F9">
        <w:rPr>
          <w:lang w:val="pl-PL"/>
        </w:rPr>
        <w:t>.</w:t>
      </w:r>
    </w:p>
    <w:p w:rsidR="0084499D" w:rsidRPr="0084499D" w:rsidRDefault="00920C89" w:rsidP="00920C89">
      <w:pPr>
        <w:pStyle w:val="Styl2"/>
        <w:numPr>
          <w:ilvl w:val="0"/>
          <w:numId w:val="10"/>
        </w:numPr>
      </w:pPr>
      <w:r w:rsidRPr="009757F9">
        <w:rPr>
          <w:lang w:val="pl-PL"/>
        </w:rPr>
        <w:t xml:space="preserve">Na Wykonawcy spoczywa </w:t>
      </w:r>
      <w:r w:rsidRPr="009757F9">
        <w:t xml:space="preserve">obowiązek zakupu </w:t>
      </w:r>
      <w:r w:rsidRPr="0084499D">
        <w:t xml:space="preserve">dziennika budowy i przekazania go do </w:t>
      </w:r>
      <w:r>
        <w:rPr>
          <w:lang w:val="pl-PL"/>
        </w:rPr>
        <w:t>Zamawiającego</w:t>
      </w:r>
      <w:r w:rsidR="00286B0E">
        <w:rPr>
          <w:lang w:val="pl-PL"/>
        </w:rPr>
        <w:t xml:space="preserve"> – jeżeli przedmiot prac tego wymaga</w:t>
      </w:r>
      <w:r w:rsidR="006E6D32">
        <w:rPr>
          <w:lang w:val="pl-PL"/>
        </w:rPr>
        <w:t>.</w:t>
      </w:r>
    </w:p>
    <w:p w:rsidR="0084499D" w:rsidRPr="00040D5A" w:rsidRDefault="0084499D" w:rsidP="00576DD1">
      <w:pPr>
        <w:pStyle w:val="Styl2"/>
        <w:numPr>
          <w:ilvl w:val="0"/>
          <w:numId w:val="10"/>
        </w:numPr>
      </w:pPr>
      <w:r w:rsidRPr="00590219">
        <w:t>Pozostałe, podstawowe wymagania dotyczące realizacji</w:t>
      </w:r>
      <w:r w:rsidR="003734DF">
        <w:rPr>
          <w:lang w:val="pl-PL"/>
        </w:rPr>
        <w:t xml:space="preserve"> robót budowlano – montażowych </w:t>
      </w:r>
      <w:r w:rsidRPr="00590219">
        <w:t xml:space="preserve">określa </w:t>
      </w:r>
      <w:r w:rsidRPr="00590219">
        <w:rPr>
          <w:lang w:val="pl-PL"/>
        </w:rPr>
        <w:t>umowa stanowiąca 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>
        <w:rPr>
          <w:lang w:val="pl-PL"/>
        </w:rPr>
        <w:t>.</w:t>
      </w:r>
    </w:p>
    <w:p w:rsidR="00040D5A" w:rsidRPr="00576DD1" w:rsidRDefault="00D362D1" w:rsidP="00A82315">
      <w:pPr>
        <w:pStyle w:val="Styl2"/>
        <w:numPr>
          <w:ilvl w:val="0"/>
          <w:numId w:val="10"/>
        </w:numPr>
      </w:pPr>
      <w:r>
        <w:t>Osoby wykonując</w:t>
      </w:r>
      <w:r>
        <w:rPr>
          <w:lang w:val="pl-PL"/>
        </w:rPr>
        <w:t>e</w:t>
      </w:r>
      <w:r w:rsidR="00040D5A" w:rsidRPr="00040D5A">
        <w:t xml:space="preserve"> prace przy urządzeniach elektroenergetycznych eksploatowanych przez PG</w:t>
      </w:r>
      <w:r w:rsidR="005F52BE">
        <w:t>E Dystrybucja S.A. Oddział Łódź</w:t>
      </w:r>
      <w:r w:rsidR="00040D5A" w:rsidRPr="00040D5A">
        <w:t xml:space="preserve"> winny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D362D1">
        <w:t>Osoby, które będą wykonywały prace na sieci PGE Dystrybucja S.A. muszą przestrzegać zasad zawartych w „Instrukcji organizacji bezpiecznej pracy przy urządzeniach energetycznych w PGE Dystrybucja S.A.</w:t>
      </w:r>
      <w:r w:rsidR="005F3BF8">
        <w:t>”, „Instrukcji organizacji prac</w:t>
      </w:r>
      <w:r w:rsidR="0047324A" w:rsidRPr="00D362D1">
        <w:t xml:space="preserve"> w sieci dystrybucyjnej PGE Dystrybucja S.A. z udziałem firm zewnętrznych”, „Wytycznych do budowy systemów energetycznych w PGE Dystrybucja S.A.” </w:t>
      </w:r>
      <w:r w:rsidR="0047324A" w:rsidRPr="004D3A15">
        <w:t>oraz „Zasadach prowadzenia prac przy budowie lub przebudowie stacji i linii elektroenergetycznych”</w:t>
      </w:r>
      <w:r w:rsidR="0047324A" w:rsidRPr="00D362D1">
        <w:t xml:space="preserve"> dostępnych na stronie internetowej Zamawiającego </w:t>
      </w:r>
      <w:hyperlink r:id="rId12" w:history="1">
        <w:r w:rsidR="00E42B4B" w:rsidRPr="00185341">
          <w:rPr>
            <w:rStyle w:val="Hipercze"/>
          </w:rPr>
          <w:t>http://pgedystrybucja.pl/</w:t>
        </w:r>
        <w:r w:rsidR="00E42B4B" w:rsidRPr="00185341">
          <w:rPr>
            <w:rStyle w:val="Hipercze"/>
            <w:lang w:val="pl-PL"/>
          </w:rPr>
          <w:t>strefa</w:t>
        </w:r>
        <w:r w:rsidR="00E42B4B" w:rsidRPr="00185341">
          <w:rPr>
            <w:rStyle w:val="Hipercze"/>
          </w:rPr>
          <w:t>-klienta/Przydatne-dokumenty</w:t>
        </w:r>
      </w:hyperlink>
      <w:r>
        <w:rPr>
          <w:lang w:val="pl-PL"/>
        </w:rPr>
        <w:t xml:space="preserve"> </w:t>
      </w:r>
      <w:r w:rsidR="00A82315">
        <w:rPr>
          <w:lang w:val="pl-PL"/>
        </w:rPr>
        <w:t xml:space="preserve"> </w:t>
      </w:r>
    </w:p>
    <w:p w:rsidR="002D0F48" w:rsidRPr="00590219" w:rsidRDefault="002D0F48" w:rsidP="005E5776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>Dostawy:</w:t>
      </w:r>
    </w:p>
    <w:p w:rsidR="006E4E9F" w:rsidRPr="00A35A7D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A35A7D">
        <w:rPr>
          <w:color w:val="000000" w:themeColor="text1"/>
        </w:rPr>
        <w:t>Zamawiający wymaga aby wszystkie dostarczone przez Wykonawcę materiały i</w:t>
      </w:r>
      <w:r w:rsidR="009030DF" w:rsidRPr="00A35A7D">
        <w:rPr>
          <w:color w:val="000000" w:themeColor="text1"/>
          <w:lang w:val="pl-PL"/>
        </w:rPr>
        <w:t> </w:t>
      </w:r>
      <w:r w:rsidRPr="00A35A7D">
        <w:rPr>
          <w:color w:val="000000" w:themeColor="text1"/>
        </w:rPr>
        <w:t>urządzenia, stanowiące przedmiot zamówienia były fabrycznie nowe</w:t>
      </w:r>
      <w:r w:rsidR="008720F4" w:rsidRPr="00A35A7D">
        <w:rPr>
          <w:color w:val="000000" w:themeColor="text1"/>
        </w:rPr>
        <w:t xml:space="preserve"> i wyprodukowane nie wcześniej</w:t>
      </w:r>
      <w:r w:rsidR="008720F4" w:rsidRPr="00A35A7D">
        <w:rPr>
          <w:color w:val="000000" w:themeColor="text1"/>
          <w:lang w:val="pl-PL"/>
        </w:rPr>
        <w:t xml:space="preserve"> </w:t>
      </w:r>
      <w:r w:rsidRPr="00A35A7D">
        <w:rPr>
          <w:color w:val="000000" w:themeColor="text1"/>
        </w:rPr>
        <w:t xml:space="preserve">niż </w:t>
      </w:r>
      <w:r w:rsidR="00D37A76" w:rsidRPr="00A35A7D">
        <w:rPr>
          <w:color w:val="000000" w:themeColor="text1"/>
          <w:lang w:val="pl-PL"/>
        </w:rPr>
        <w:t xml:space="preserve">12 miesięcy </w:t>
      </w:r>
      <w:r w:rsidR="005B26BD" w:rsidRPr="00A35A7D">
        <w:rPr>
          <w:color w:val="000000" w:themeColor="text1"/>
          <w:lang w:val="pl-PL"/>
        </w:rPr>
        <w:t>licząc od daty</w:t>
      </w:r>
      <w:r w:rsidRPr="00A35A7D">
        <w:rPr>
          <w:color w:val="000000" w:themeColor="text1"/>
        </w:rPr>
        <w:t xml:space="preserve"> rozpoczęci</w:t>
      </w:r>
      <w:r w:rsidR="00D37A76" w:rsidRPr="00A35A7D">
        <w:rPr>
          <w:color w:val="000000" w:themeColor="text1"/>
          <w:lang w:val="pl-PL"/>
        </w:rPr>
        <w:t>a</w:t>
      </w:r>
      <w:r w:rsidRPr="00A35A7D">
        <w:rPr>
          <w:color w:val="000000" w:themeColor="text1"/>
        </w:rPr>
        <w:t xml:space="preserve"> robót budowlano – montażowych</w:t>
      </w:r>
      <w:r w:rsidR="00FF4847" w:rsidRPr="00A35A7D">
        <w:rPr>
          <w:color w:val="000000" w:themeColor="text1"/>
        </w:rPr>
        <w:t xml:space="preserve"> </w:t>
      </w:r>
      <w:r w:rsidRPr="00A35A7D">
        <w:rPr>
          <w:color w:val="000000" w:themeColor="text1"/>
        </w:rPr>
        <w:t>oraz spełniać określone poniżej wymagania techniczne</w:t>
      </w:r>
    </w:p>
    <w:p w:rsidR="00E357A5" w:rsidRPr="00786C81" w:rsidRDefault="003734DF" w:rsidP="00786C81">
      <w:pPr>
        <w:pStyle w:val="Styl2"/>
        <w:numPr>
          <w:ilvl w:val="0"/>
          <w:numId w:val="12"/>
        </w:numPr>
      </w:pPr>
      <w:r w:rsidRPr="00590219">
        <w:t>Pozostałe, podstawowe wymaga</w:t>
      </w:r>
      <w:r>
        <w:t xml:space="preserve">nia dotyczące </w:t>
      </w:r>
      <w:r>
        <w:rPr>
          <w:lang w:val="pl-PL"/>
        </w:rPr>
        <w:t xml:space="preserve">dostaw </w:t>
      </w:r>
      <w:r w:rsidRPr="00590219">
        <w:t xml:space="preserve">określa </w:t>
      </w:r>
      <w:r w:rsidRPr="00590219">
        <w:rPr>
          <w:lang w:val="pl-PL"/>
        </w:rPr>
        <w:t>umowa stanowiąca</w:t>
      </w:r>
      <w:r w:rsidR="00235A5D">
        <w:rPr>
          <w:lang w:val="pl-PL"/>
        </w:rPr>
        <w:t xml:space="preserve"> </w:t>
      </w:r>
      <w:r w:rsidRPr="00590219">
        <w:rPr>
          <w:lang w:val="pl-PL"/>
        </w:rPr>
        <w:t>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>
        <w:rPr>
          <w:lang w:val="pl-PL"/>
        </w:rPr>
        <w:t>.</w:t>
      </w:r>
      <w:r w:rsidRPr="00AD579B">
        <w:rPr>
          <w:strike/>
          <w:color w:val="FF0000"/>
          <w:lang w:val="pl-PL"/>
        </w:rPr>
        <w:t xml:space="preserve">           </w:t>
      </w:r>
    </w:p>
    <w:p w:rsidR="002D0F48" w:rsidRDefault="002D0F48" w:rsidP="00594EB3">
      <w:pPr>
        <w:pStyle w:val="Nagwek2"/>
        <w:rPr>
          <w:b/>
          <w:color w:val="auto"/>
          <w:lang w:val="pl-PL"/>
        </w:rPr>
      </w:pPr>
      <w:r w:rsidRPr="00590219">
        <w:rPr>
          <w:b/>
          <w:color w:val="auto"/>
        </w:rPr>
        <w:t>Wymagania dla wykonywania robót demontażowych:</w:t>
      </w:r>
    </w:p>
    <w:p w:rsidR="00AD579B" w:rsidRPr="00AD579B" w:rsidRDefault="0087323C" w:rsidP="0087323C">
      <w:pPr>
        <w:pStyle w:val="bezpunkw"/>
      </w:pPr>
      <w:r>
        <w:t>W</w:t>
      </w:r>
      <w:r w:rsidR="00AD579B" w:rsidRPr="00590219">
        <w:t>ymaga</w:t>
      </w:r>
      <w:r>
        <w:t>nia</w:t>
      </w:r>
      <w:r>
        <w:rPr>
          <w:lang w:val="pl-PL"/>
        </w:rPr>
        <w:t xml:space="preserve"> </w:t>
      </w:r>
      <w:r w:rsidR="00AD579B">
        <w:t xml:space="preserve">dotyczące </w:t>
      </w:r>
      <w:r>
        <w:t xml:space="preserve">wykonywania robót demontażowych </w:t>
      </w:r>
      <w:r w:rsidR="00AD579B" w:rsidRPr="00590219">
        <w:t>określa umowa stanowiąca 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 w:rsidR="00AD579B">
        <w:t>.</w:t>
      </w:r>
      <w:r w:rsidR="00AD579B" w:rsidRPr="00AD579B">
        <w:rPr>
          <w:strike/>
          <w:color w:val="FF0000"/>
        </w:rPr>
        <w:t xml:space="preserve">           </w:t>
      </w:r>
    </w:p>
    <w:p w:rsidR="002D0F48" w:rsidRPr="00590219" w:rsidRDefault="002D0F48" w:rsidP="005E20B5">
      <w:pPr>
        <w:pStyle w:val="Nagwek2"/>
        <w:ind w:left="578" w:hanging="578"/>
        <w:rPr>
          <w:b/>
          <w:color w:val="auto"/>
        </w:rPr>
      </w:pPr>
      <w:r w:rsidRPr="00590219">
        <w:rPr>
          <w:b/>
          <w:color w:val="auto"/>
        </w:rPr>
        <w:t>Zasady odbioru robót budowlanych:</w:t>
      </w:r>
    </w:p>
    <w:p w:rsidR="007111DA" w:rsidRPr="003734DF" w:rsidRDefault="008D351C" w:rsidP="003734DF">
      <w:pPr>
        <w:pStyle w:val="bezpunkw"/>
        <w:rPr>
          <w:lang w:val="pl-PL"/>
        </w:rPr>
      </w:pPr>
      <w:r w:rsidRPr="00590219">
        <w:t>Odbiory prac dokonywane są przez Zamawiającego</w:t>
      </w:r>
      <w:r w:rsidR="00E90392">
        <w:t xml:space="preserve"> zgodnie z „</w:t>
      </w:r>
      <w:r w:rsidR="00201B52" w:rsidRPr="00201B52">
        <w:t xml:space="preserve">Ramową instrukcją przeprowadzania odbiorów obiektów budowlanych związanych z dystrybucją energii elektrycznej </w:t>
      </w:r>
      <w:r w:rsidR="00286B0E">
        <w:rPr>
          <w:lang w:val="pl-PL"/>
        </w:rPr>
        <w:br/>
      </w:r>
      <w:r w:rsidR="0032137D">
        <w:rPr>
          <w:b/>
          <w:bCs/>
          <w:i/>
          <w:iCs/>
        </w:rPr>
        <w:t>w PGE Dystrybucja S.A.</w:t>
      </w:r>
      <w:r w:rsidR="0032137D">
        <w:rPr>
          <w:b/>
          <w:bCs/>
          <w:i/>
          <w:iCs/>
          <w:lang w:val="pl-PL"/>
        </w:rPr>
        <w:t xml:space="preserve"> </w:t>
      </w:r>
      <w:r w:rsidR="001E1B00" w:rsidRPr="001E1B00">
        <w:t xml:space="preserve">która dostępna jest na stronie </w:t>
      </w:r>
      <w:hyperlink r:id="rId13" w:history="1">
        <w:r w:rsidR="00E42B4B" w:rsidRPr="00185341">
          <w:rPr>
            <w:rStyle w:val="Hipercze"/>
          </w:rPr>
          <w:t>http://www.pgedystrybucja.p</w:t>
        </w:r>
        <w:r w:rsidR="00E42B4B" w:rsidRPr="00185341">
          <w:rPr>
            <w:rStyle w:val="Hipercze"/>
            <w:lang w:val="pl-PL"/>
          </w:rPr>
          <w:t>l</w:t>
        </w:r>
        <w:r w:rsidR="00E42B4B" w:rsidRPr="00185341">
          <w:rPr>
            <w:rStyle w:val="Hipercze"/>
          </w:rPr>
          <w:t>/</w:t>
        </w:r>
        <w:r w:rsidR="00E42B4B" w:rsidRPr="00185341">
          <w:rPr>
            <w:rStyle w:val="Hipercze"/>
            <w:lang w:val="pl-PL"/>
          </w:rPr>
          <w:t>strefa</w:t>
        </w:r>
        <w:r w:rsidR="00E42B4B" w:rsidRPr="00185341">
          <w:rPr>
            <w:rStyle w:val="Hipercze"/>
          </w:rPr>
          <w:t>-klienta/przydatne-dokumenty</w:t>
        </w:r>
      </w:hyperlink>
      <w:r w:rsidR="00A969F5">
        <w:rPr>
          <w:lang w:val="pl-PL"/>
        </w:rPr>
        <w:t xml:space="preserve"> </w:t>
      </w:r>
      <w:r w:rsidR="006A2227" w:rsidRPr="006A2227">
        <w:t xml:space="preserve"> </w:t>
      </w:r>
      <w:r w:rsidR="003734DF">
        <w:rPr>
          <w:lang w:val="pl-PL"/>
        </w:rPr>
        <w:t xml:space="preserve">oraz </w:t>
      </w:r>
      <w:r w:rsidR="007111DA" w:rsidRPr="00590219">
        <w:t xml:space="preserve">zgodnie z zapisami umowy na realizację </w:t>
      </w:r>
      <w:r w:rsidR="000C4FFF">
        <w:rPr>
          <w:lang w:val="pl-PL"/>
        </w:rPr>
        <w:t xml:space="preserve">prac projektowych i </w:t>
      </w:r>
      <w:r w:rsidR="007111DA" w:rsidRPr="00590219">
        <w:t>robót budowlanych stanowiącej załącznik</w:t>
      </w:r>
      <w:r w:rsidR="000C4FFF">
        <w:rPr>
          <w:lang w:val="pl-PL"/>
        </w:rPr>
        <w:t xml:space="preserve"> do </w:t>
      </w:r>
      <w:r w:rsidR="00786C81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 w:rsidR="003734DF">
        <w:rPr>
          <w:lang w:val="pl-PL"/>
        </w:rPr>
        <w:t>.</w:t>
      </w:r>
    </w:p>
    <w:p w:rsidR="002D0F48" w:rsidRPr="00590219" w:rsidRDefault="002D0F48" w:rsidP="00730F4D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>Wymagania dla przygotowywania dokumentacji powykonawczej:</w:t>
      </w:r>
    </w:p>
    <w:p w:rsidR="002D0F48" w:rsidRPr="00590219" w:rsidRDefault="002D0F48" w:rsidP="00DE7D3B">
      <w:pPr>
        <w:pStyle w:val="bezpunkw"/>
      </w:pPr>
      <w:r w:rsidRPr="00590219">
        <w:t>Dokumentacja powykonawcza przekazana do Zamawiającego po wykonaniu prac powinna zawierać w szczególności:</w:t>
      </w:r>
    </w:p>
    <w:p w:rsidR="002D0F48" w:rsidRPr="00590219" w:rsidRDefault="00E1551C" w:rsidP="005113AF">
      <w:pPr>
        <w:pStyle w:val="Styl2"/>
        <w:numPr>
          <w:ilvl w:val="0"/>
          <w:numId w:val="8"/>
        </w:numPr>
      </w:pPr>
      <w:r>
        <w:rPr>
          <w:lang w:val="pl-PL"/>
        </w:rPr>
        <w:t xml:space="preserve">Uzgodnioną </w:t>
      </w:r>
      <w:r w:rsidR="00286B0E">
        <w:rPr>
          <w:lang w:val="pl-PL"/>
        </w:rPr>
        <w:t>dokumentację projektową</w:t>
      </w:r>
      <w:r w:rsidR="002D0F48" w:rsidRPr="00590219">
        <w:t xml:space="preserve"> z ewentualnymi zmianami na etapie realizacji.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 xml:space="preserve">Protokoły z przeprowadzonych </w:t>
      </w:r>
      <w:r w:rsidR="00286B0E">
        <w:rPr>
          <w:lang w:val="pl-PL"/>
        </w:rPr>
        <w:t xml:space="preserve">prób i </w:t>
      </w:r>
      <w:r w:rsidRPr="00590219">
        <w:t>pomiarów.</w:t>
      </w:r>
    </w:p>
    <w:p w:rsidR="005C400D" w:rsidRPr="00D1298B" w:rsidRDefault="00FA1A2A" w:rsidP="00E1551C">
      <w:pPr>
        <w:pStyle w:val="Styl2"/>
        <w:numPr>
          <w:ilvl w:val="0"/>
          <w:numId w:val="8"/>
        </w:numPr>
      </w:pPr>
      <w:r>
        <w:rPr>
          <w:lang w:val="pl-PL"/>
        </w:rPr>
        <w:t>D</w:t>
      </w:r>
      <w:r w:rsidR="007E76DD" w:rsidRPr="007E76DD">
        <w:t>okumenty dotyczące wyrobów budowlanych (materiałów i urządzeń) wbudowanych w obiekt potwierdzających ich projektowane właściwości użytkowe, charakterystyki techniczne i świadczące o legalnym wprowadzeniu ich do obrotu</w:t>
      </w:r>
      <w:r w:rsidR="00286B0E">
        <w:rPr>
          <w:lang w:val="pl-PL"/>
        </w:rPr>
        <w:t>.</w:t>
      </w:r>
    </w:p>
    <w:p w:rsidR="00D1298B" w:rsidRDefault="00D1298B" w:rsidP="00D1298B">
      <w:pPr>
        <w:pStyle w:val="Styl2"/>
        <w:numPr>
          <w:ilvl w:val="0"/>
          <w:numId w:val="8"/>
        </w:numPr>
      </w:pPr>
      <w: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przebiegiem trasy obiektu inwentarzowego.</w:t>
      </w:r>
    </w:p>
    <w:p w:rsidR="00D1298B" w:rsidRDefault="00D1298B" w:rsidP="00D1298B">
      <w:pPr>
        <w:pStyle w:val="Styl2"/>
        <w:numPr>
          <w:ilvl w:val="0"/>
          <w:numId w:val="8"/>
        </w:numPr>
      </w:pPr>
      <w:r>
        <w:t>Dokumentacja projektowa i powykonawcza przebiegu sieci wraz z atrybutami zinwentaryzowanych elementów stanowi integralną część dokumentacji i wymagana jest w plikach wektorowych z rozszerzeniem .shp dla inwentaryzowanych warstw w układach 2000 (pas 6,7), 1992(m), 1965 (strefa_1).</w:t>
      </w:r>
    </w:p>
    <w:p w:rsidR="005C400D" w:rsidRPr="004D3A15" w:rsidRDefault="005C400D" w:rsidP="005C400D">
      <w:pPr>
        <w:rPr>
          <w:rFonts w:asciiTheme="minorHAnsi" w:hAnsiTheme="minorHAnsi" w:cstheme="minorHAnsi"/>
          <w:b/>
          <w:u w:val="single"/>
          <w:lang w:eastAsia="x-none"/>
        </w:rPr>
      </w:pPr>
      <w:r w:rsidRPr="009507B6">
        <w:rPr>
          <w:rFonts w:asciiTheme="minorHAnsi" w:hAnsiTheme="minorHAnsi" w:cstheme="minorHAnsi"/>
          <w:b/>
          <w:u w:val="single"/>
          <w:lang w:eastAsia="x-none"/>
        </w:rPr>
        <w:t>Zał</w:t>
      </w:r>
      <w:r w:rsidRPr="004D3A15">
        <w:rPr>
          <w:rFonts w:asciiTheme="minorHAnsi" w:hAnsiTheme="minorHAnsi" w:cstheme="minorHAnsi"/>
          <w:b/>
          <w:u w:val="single"/>
          <w:lang w:eastAsia="x-none"/>
        </w:rPr>
        <w:t>ączniki:</w:t>
      </w:r>
    </w:p>
    <w:p w:rsidR="00A076B3" w:rsidRPr="004D3A15" w:rsidRDefault="004D3A15" w:rsidP="003638C4">
      <w:pPr>
        <w:pStyle w:val="Akapitzlist"/>
        <w:numPr>
          <w:ilvl w:val="0"/>
          <w:numId w:val="32"/>
        </w:numPr>
        <w:rPr>
          <w:rFonts w:asciiTheme="minorHAnsi" w:hAnsiTheme="minorHAnsi"/>
          <w:lang w:eastAsia="x-none"/>
        </w:rPr>
      </w:pPr>
      <w:r w:rsidRPr="004D3A15">
        <w:rPr>
          <w:rFonts w:asciiTheme="minorHAnsi" w:hAnsiTheme="minorHAnsi"/>
          <w:lang w:eastAsia="x-none"/>
        </w:rPr>
        <w:t>Warunki przyłączenia.</w:t>
      </w:r>
    </w:p>
    <w:sectPr w:rsidR="00A076B3" w:rsidRPr="004D3A15" w:rsidSect="00EA6F0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98E" w:rsidRDefault="0061598E">
      <w:r>
        <w:separator/>
      </w:r>
    </w:p>
  </w:endnote>
  <w:endnote w:type="continuationSeparator" w:id="0">
    <w:p w:rsidR="0061598E" w:rsidRDefault="0061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372" w:rsidRDefault="008E33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E3372">
      <w:rPr>
        <w:noProof/>
      </w:rPr>
      <w:t>1</w:t>
    </w:r>
    <w:r>
      <w:fldChar w:fldCharType="end"/>
    </w:r>
  </w:p>
  <w:p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372" w:rsidRDefault="008E33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98E" w:rsidRDefault="0061598E">
      <w:r>
        <w:separator/>
      </w:r>
    </w:p>
  </w:footnote>
  <w:footnote w:type="continuationSeparator" w:id="0">
    <w:p w:rsidR="0061598E" w:rsidRDefault="00615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372" w:rsidRDefault="008E33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81" w:rsidRDefault="00786C81" w:rsidP="00786C81">
    <w:pPr>
      <w:pStyle w:val="Zanag2"/>
      <w:ind w:left="709"/>
      <w:rPr>
        <w:rFonts w:ascii="Calibri" w:hAnsi="Calibri" w:cs="Calibri"/>
        <w:sz w:val="24"/>
      </w:rPr>
    </w:pPr>
    <w:r w:rsidRPr="00C41EFA">
      <w:rPr>
        <w:rFonts w:ascii="Calibri" w:hAnsi="Calibri" w:cs="Calibri"/>
        <w:sz w:val="24"/>
      </w:rPr>
      <w:t>Załącznik nr 1.7 do SWZ – Specyfikacja Techniczna</w:t>
    </w:r>
  </w:p>
  <w:p w:rsidR="008E3372" w:rsidRPr="008222A2" w:rsidRDefault="008E3372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8E3372">
      <w:rPr>
        <w:rFonts w:ascii="Calibri" w:hAnsi="Calibri" w:cs="Calibri"/>
        <w:caps w:val="0"/>
        <w:sz w:val="24"/>
      </w:rPr>
      <w:t>POST/DYS/OLD/GZ/01389/2025</w:t>
    </w:r>
    <w:bookmarkStart w:id="3" w:name="_GoBack"/>
    <w:bookmarkEnd w:id="3"/>
  </w:p>
  <w:p w:rsidR="0061598E" w:rsidRPr="00786C81" w:rsidRDefault="0061598E" w:rsidP="00786C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372" w:rsidRDefault="008E33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8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9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2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2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3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4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7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8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6"/>
  </w:num>
  <w:num w:numId="2">
    <w:abstractNumId w:val="69"/>
  </w:num>
  <w:num w:numId="3">
    <w:abstractNumId w:val="73"/>
  </w:num>
  <w:num w:numId="4">
    <w:abstractNumId w:val="77"/>
  </w:num>
  <w:num w:numId="5">
    <w:abstractNumId w:val="67"/>
  </w:num>
  <w:num w:numId="6">
    <w:abstractNumId w:val="74"/>
  </w:num>
  <w:num w:numId="7">
    <w:abstractNumId w:val="81"/>
  </w:num>
  <w:num w:numId="8">
    <w:abstractNumId w:val="80"/>
  </w:num>
  <w:num w:numId="9">
    <w:abstractNumId w:val="60"/>
  </w:num>
  <w:num w:numId="10">
    <w:abstractNumId w:val="79"/>
  </w:num>
  <w:num w:numId="11">
    <w:abstractNumId w:val="53"/>
  </w:num>
  <w:num w:numId="12">
    <w:abstractNumId w:val="56"/>
  </w:num>
  <w:num w:numId="13">
    <w:abstractNumId w:val="62"/>
  </w:num>
  <w:num w:numId="14">
    <w:abstractNumId w:val="63"/>
  </w:num>
  <w:num w:numId="15">
    <w:abstractNumId w:val="70"/>
  </w:num>
  <w:num w:numId="16">
    <w:abstractNumId w:val="75"/>
  </w:num>
  <w:num w:numId="1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0"/>
  </w:num>
  <w:num w:numId="20">
    <w:abstractNumId w:val="61"/>
  </w:num>
  <w:num w:numId="21">
    <w:abstractNumId w:val="68"/>
  </w:num>
  <w:num w:numId="22">
    <w:abstractNumId w:val="65"/>
  </w:num>
  <w:num w:numId="23">
    <w:abstractNumId w:val="59"/>
  </w:num>
  <w:num w:numId="24">
    <w:abstractNumId w:val="78"/>
  </w:num>
  <w:num w:numId="25">
    <w:abstractNumId w:val="66"/>
  </w:num>
  <w:num w:numId="26">
    <w:abstractNumId w:val="54"/>
  </w:num>
  <w:num w:numId="27">
    <w:abstractNumId w:val="71"/>
  </w:num>
  <w:num w:numId="2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8"/>
  </w:num>
  <w:num w:numId="3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5"/>
  </w:num>
  <w:num w:numId="32">
    <w:abstractNumId w:val="72"/>
  </w:num>
  <w:num w:numId="33">
    <w:abstractNumId w:val="6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407A"/>
    <w:rsid w:val="001540B5"/>
    <w:rsid w:val="00155316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4CB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1147"/>
    <w:rsid w:val="00542E8F"/>
    <w:rsid w:val="00542F0B"/>
    <w:rsid w:val="00545CEA"/>
    <w:rsid w:val="00546FE3"/>
    <w:rsid w:val="00550A82"/>
    <w:rsid w:val="00551A13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C18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3372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1235"/>
    <w:rsid w:val="00B71F7C"/>
    <w:rsid w:val="00B72301"/>
    <w:rsid w:val="00B72F32"/>
    <w:rsid w:val="00B738C8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7087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A76"/>
    <w:rsid w:val="00D37D22"/>
    <w:rsid w:val="00D418E6"/>
    <w:rsid w:val="00D4300C"/>
    <w:rsid w:val="00D43C38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551C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52D4E17B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D861AF2566EC47943D26FC01C0DEFD" ma:contentTypeVersion="0" ma:contentTypeDescription="SWPP2 Dokument bazowy" ma:contentTypeScope="" ma:versionID="536a493f637fb9d31494d952e8ed784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 do SWZ (bez pozwolenia na budowę i zgłoszenia) - część 4.docx</dmsv2BaseFileName>
    <dmsv2BaseDisplayName xmlns="http://schemas.microsoft.com/sharepoint/v3">Załącznik nr 1.7  do SWZ (bez pozwolenia na budowę i zgłoszenia) - część 4</dmsv2BaseDisplayName>
    <dmsv2SWPP2ObjectNumber xmlns="http://schemas.microsoft.com/sharepoint/v3">POST/DYS/OLD/GZ/01389/2025                        </dmsv2SWPP2ObjectNumber>
    <dmsv2SWPP2SumMD5 xmlns="http://schemas.microsoft.com/sharepoint/v3">f214af899b74705cbdab368f27b49068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677075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22190885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MUFVPD5EPY3P-1521707631-23213</_dlc_DocId>
    <_dlc_DocIdUrl xmlns="a19cb1c7-c5c7-46d4-85ae-d83685407bba">
      <Url>https://swpp2.dms.gkpge.pl/sites/36/_layouts/15/DocIdRedir.aspx?ID=MUFVPD5EPY3P-1521707631-23213</Url>
      <Description>MUFVPD5EPY3P-1521707631-23213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4A476-4C7F-498B-8BD6-03A04B013C0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5A00500-C9BD-4768-9A47-C2B551DD97D3}"/>
</file>

<file path=customXml/itemProps3.xml><?xml version="1.0" encoding="utf-8"?>
<ds:datastoreItem xmlns:ds="http://schemas.openxmlformats.org/officeDocument/2006/customXml" ds:itemID="{76C46E6C-26D7-4AA9-927C-4A18AFD379C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7F1BD360-612A-4020-9C0F-9F878AC62D0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DDE529F-E0F6-4C8B-9CAE-19C260BD2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1860</Words>
  <Characters>11160</Characters>
  <Application>Microsoft Office Word</Application>
  <DocSecurity>0</DocSecurity>
  <Lines>93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Goc-Moszyńska Magdalena [PGE Dystr. O.Łódź]</cp:lastModifiedBy>
  <cp:revision>60</cp:revision>
  <cp:lastPrinted>2011-10-20T15:55:00Z</cp:lastPrinted>
  <dcterms:created xsi:type="dcterms:W3CDTF">2015-07-14T04:54:00Z</dcterms:created>
  <dcterms:modified xsi:type="dcterms:W3CDTF">2025-04-14T12:42:00Z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0x010189100081D861AF2566EC47943D26FC01C0DEFD</vt:lpwstr>
  </property>
  <property fmtid="{D5CDD505-2E9C-101B-9397-08002B2CF9AE}" pid="3" name="_dlc_DocIdItemGuid">
    <vt:lpwstr>90bc0d1d-1656-43a5-bd2a-5ae4e7d9ce6e</vt:lpwstr>
  </property>
</Properties>
</file>