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FE3FB1" w:rsidRPr="00FE3FB1" w:rsidRDefault="003B1B69" w:rsidP="00FE3FB1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B1B69">
        <w:rPr>
          <w:rFonts w:asciiTheme="minorHAnsi" w:hAnsiTheme="minorHAnsi" w:cstheme="minorHAnsi"/>
          <w:sz w:val="22"/>
          <w:szCs w:val="22"/>
        </w:rPr>
        <w:t xml:space="preserve">   </w:t>
      </w:r>
      <w:r w:rsidR="00FE3FB1" w:rsidRPr="00FE3FB1">
        <w:rPr>
          <w:rFonts w:ascii="Calibri" w:eastAsia="Calibri" w:hAnsi="Calibri" w:cs="Calibri"/>
          <w:b/>
          <w:sz w:val="22"/>
          <w:szCs w:val="22"/>
          <w:lang w:eastAsia="en-US"/>
        </w:rPr>
        <w:t>budowy słupa w linii 15 kV „GPZ Łask 2 – Przylesie” z rozłącznikiem sterowanym ręcznie tj. budowa słupa linii SN z rozłącznikiem sterownym ręcznie, zlokalizowanym na działce nr 267/2 w miejscowości Ostrów, gm. Łask i powiązanym odcinkiem linii napowietrznej 15 kV, o długości 10 m w nawiązaniu do istniejącego słupa linii 15 kV „Łask 2 – Przylesie”. Lokalizacja słupa w linii SN jest powiązana z trasą projektowanego przyłącza SN, zasilającego projektowaną farmę fotowoltaiczną</w:t>
      </w:r>
    </w:p>
    <w:p w:rsidR="003B1B69" w:rsidRPr="00FE3FB1" w:rsidRDefault="00FE3FB1" w:rsidP="00FE3FB1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FE3FB1">
        <w:rPr>
          <w:rFonts w:eastAsia="Calibri" w:cs="Calibri"/>
          <w:bCs/>
          <w:color w:val="FF0000"/>
          <w:sz w:val="22"/>
          <w:szCs w:val="22"/>
          <w:lang w:val="pl-PL" w:eastAsia="en-US"/>
        </w:rPr>
        <w:t>„Należy zastosować rozłącznik z uziemnikiem, zgodnie z WBSE Tom 3 „Linie napowietrzne średniego napięcia” pkt. 8.5 ppkt. 5, tj. prąd znamionowy ciągły o wartości 400A. Prąd znamionowy wyłączalny rozłączników, o wartości 100A.”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2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lastRenderedPageBreak/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3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3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4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4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FE3FB1">
        <w:rPr>
          <w:rFonts w:ascii="Calibri" w:hAnsi="Calibri"/>
          <w:b/>
          <w:bCs/>
          <w:sz w:val="22"/>
          <w:szCs w:val="22"/>
          <w:lang w:eastAsia="x-none"/>
        </w:rPr>
        <w:t>0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FE3FB1">
        <w:rPr>
          <w:rFonts w:ascii="Calibri" w:hAnsi="Calibri"/>
          <w:b/>
          <w:bCs/>
          <w:sz w:val="22"/>
          <w:szCs w:val="22"/>
          <w:lang w:eastAsia="x-none"/>
        </w:rPr>
        <w:t xml:space="preserve"> PPN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OŁD. </w:t>
      </w:r>
    </w:p>
    <w:p w:rsidR="0048169F" w:rsidRPr="00FE3FB1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FE3FB1">
        <w:rPr>
          <w:rFonts w:ascii="Calibri" w:hAnsi="Calibri"/>
          <w:bCs/>
          <w:strike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FE3FB1" w:rsidRDefault="0048169F" w:rsidP="0048169F">
      <w:pPr>
        <w:pStyle w:val="Akapitzlist"/>
        <w:ind w:left="1080" w:firstLine="0"/>
        <w:rPr>
          <w:rFonts w:ascii="Calibri" w:hAnsi="Calibri"/>
          <w:bCs/>
          <w:strike/>
          <w:sz w:val="22"/>
          <w:szCs w:val="22"/>
          <w:lang w:val="x-none" w:eastAsia="x-none"/>
        </w:rPr>
      </w:pPr>
      <w:r w:rsidRPr="00FE3FB1">
        <w:rPr>
          <w:rFonts w:ascii="Calibri" w:hAnsi="Calibri"/>
          <w:bCs/>
          <w:strike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FE3FB1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FE3FB1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FE3FB1" w:rsidRDefault="0048169F" w:rsidP="0048169F">
      <w:pPr>
        <w:pStyle w:val="Akapitzlist"/>
        <w:ind w:left="1080" w:firstLine="0"/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</w:pPr>
      <w:r w:rsidRPr="00FE3FB1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stacji/transformatora),</w:t>
      </w:r>
    </w:p>
    <w:p w:rsidR="0048169F" w:rsidRPr="00FE3FB1" w:rsidRDefault="0048169F" w:rsidP="00FE3FB1">
      <w:pPr>
        <w:pStyle w:val="Akapitzlist"/>
        <w:ind w:left="1080" w:firstLine="0"/>
        <w:rPr>
          <w:rFonts w:ascii="Calibri" w:hAnsi="Calibri"/>
          <w:bCs/>
          <w:color w:val="FF0000"/>
          <w:sz w:val="22"/>
          <w:szCs w:val="22"/>
          <w:lang w:val="x-none" w:eastAsia="x-none"/>
        </w:rPr>
      </w:pPr>
      <w:r w:rsidRPr="00FE3FB1">
        <w:rPr>
          <w:rFonts w:ascii="Calibri" w:hAnsi="Calibri"/>
          <w:bCs/>
          <w:strike/>
          <w:color w:val="FF0000"/>
          <w:sz w:val="22"/>
          <w:szCs w:val="22"/>
          <w:lang w:val="x-none" w:eastAsia="x-none"/>
        </w:rPr>
        <w:t>… (nazwa, nr eksploatacyjny i moc stacji/transformatora).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3D" w:rsidRDefault="00BD5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D543D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3D" w:rsidRDefault="00BD5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3D" w:rsidRDefault="00BD54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1C" w:rsidRDefault="00C41EFA" w:rsidP="0074541C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  <w:p w:rsidR="00BD543D" w:rsidRPr="008222A2" w:rsidRDefault="00BD543D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BD543D">
      <w:rPr>
        <w:rFonts w:ascii="Calibri" w:hAnsi="Calibri" w:cs="Calibri"/>
        <w:caps w:val="0"/>
        <w:sz w:val="24"/>
      </w:rPr>
      <w:t>POST/DYS/OLD/GZ/01389/2025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3D" w:rsidRDefault="00BD5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543D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3FB1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E122031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(pozwolenie, zgłoszenie) - część 2.docx</dmsv2BaseFileName>
    <dmsv2BaseDisplayName xmlns="http://schemas.microsoft.com/sharepoint/v3">Załącznik nr 1.7 do SWZ (pozwolenie, zgłoszenie) - część 2</dmsv2BaseDisplayName>
    <dmsv2SWPP2ObjectNumber xmlns="http://schemas.microsoft.com/sharepoint/v3">POST/DYS/OLD/GZ/01389/2025                        </dmsv2SWPP2ObjectNumber>
    <dmsv2SWPP2SumMD5 xmlns="http://schemas.microsoft.com/sharepoint/v3">781a44675258f0cfb03a9e346aab81ad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22190887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MUFVPD5EPY3P-1521707631-23211</_dlc_DocId>
    <_dlc_DocIdUrl xmlns="a19cb1c7-c5c7-46d4-85ae-d83685407bba">
      <Url>https://swpp2.dms.gkpge.pl/sites/36/_layouts/15/DocIdRedir.aspx?ID=MUFVPD5EPY3P-1521707631-23211</Url>
      <Description>MUFVPD5EPY3P-1521707631-23211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460C1-C865-40DF-AA26-ACA6A1FAC42F}"/>
</file>

<file path=customXml/itemProps2.xml><?xml version="1.0" encoding="utf-8"?>
<ds:datastoreItem xmlns:ds="http://schemas.openxmlformats.org/officeDocument/2006/customXml" ds:itemID="{9B5BFCC9-F496-4934-96A6-D7CFE8A93D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4D24662-9FF1-46D6-96B0-B26047A080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03C0B-F4AB-4C06-A487-9D8C272FDB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CDAD08-4F2F-4C88-AFEA-D4CE862D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2070</Words>
  <Characters>12420</Characters>
  <Application>Microsoft Office Word</Application>
  <DocSecurity>0</DocSecurity>
  <Lines>103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69</cp:revision>
  <cp:lastPrinted>2021-09-22T09:55:00Z</cp:lastPrinted>
  <dcterms:created xsi:type="dcterms:W3CDTF">2018-01-22T07:15:00Z</dcterms:created>
  <dcterms:modified xsi:type="dcterms:W3CDTF">2025-04-14T12:43:00Z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a7c2eb03-7635-41fd-bcb1-1df53d39887b</vt:lpwstr>
  </property>
</Properties>
</file>