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786C81">
      <w:pPr>
        <w:pStyle w:val="Nagwek1"/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>owanie dokumentacji projektowej</w:t>
      </w:r>
      <w:r w:rsidR="00C040AB">
        <w:rPr>
          <w:lang w:val="pl-PL"/>
        </w:rPr>
        <w:t xml:space="preserve"> – 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Default="00121410" w:rsidP="00786C81">
      <w:pPr>
        <w:pStyle w:val="Nagwek1"/>
        <w:rPr>
          <w:lang w:val="pl-PL"/>
        </w:rPr>
      </w:pPr>
      <w:bookmarkStart w:id="0" w:name="_Toc312846236"/>
      <w:r w:rsidRPr="003E399F">
        <w:t>Stan projektowany</w:t>
      </w:r>
      <w:bookmarkEnd w:id="0"/>
    </w:p>
    <w:p w:rsidR="00121410" w:rsidRDefault="00121410" w:rsidP="00D362D1">
      <w:pPr>
        <w:keepNext/>
        <w:rPr>
          <w:rFonts w:ascii="Calibri" w:hAnsi="Calibri"/>
          <w:b/>
          <w:sz w:val="22"/>
          <w:szCs w:val="22"/>
          <w:u w:val="single"/>
        </w:rPr>
      </w:pPr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Modernizacja w zakresie dostosowania pola nr 14 w stacji TOB (Tomaszów 2) do przyłączenia MZK w Tomaszowie Mazowieckim: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1.</w:t>
      </w:r>
      <w:r w:rsidRPr="00A32CE3">
        <w:rPr>
          <w:rFonts w:ascii="Calibri" w:hAnsi="Calibri" w:cs="Calibri"/>
          <w:b/>
        </w:rPr>
        <w:tab/>
        <w:t>Zabudować nowe zabezpieczenie 15 kV z dodatkowymi funkcjami EAZ dla generacji: U&gt;, U&lt;, f&gt;, f&lt;, df/dt, od mocy zwrotnej oraz kontrolą synchronizmu, SCO rozproszone z blokadą od mocy zwrotnej, pomiary należy wyświetlić na wyświetlaczu przekaźnika (proponowany MiCOM P139). Należy zrealizować postanowienia instrukcji nr 30171/A.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2.</w:t>
      </w:r>
      <w:r w:rsidRPr="00A32CE3">
        <w:rPr>
          <w:rFonts w:ascii="Calibri" w:hAnsi="Calibri" w:cs="Calibri"/>
          <w:b/>
        </w:rPr>
        <w:tab/>
        <w:t>Zabudować wyłącznik 15 kV o n/w wymaganiach: napięcie znamionowe - 17,5 kV, znamionowe napięcie izolacji - min. 17,5 kV, napięcie probiercze 50 Hz - min. 38 kV, napięcie probiercze impulsowe - min. 95 kV, prąd znamionowy wyłączalny Iz - 20 kA, prąd znamionowy pól liniowych In -  630 A, 2 cewki wyłączające - 220 V DC, cewka załączająca - 220 V DC, napęd silnikowo-zasobnikowy, sprężynowy lub elektromagn. - 220 V DC, środowisko gaszenia łuku – próżnia, ilość cykli łączeniowych wyłącznika przy In - min. 30 000, ilość cykli łączeniowych zwarć przy Iz - min. 50, wewnętrzny układ blokady przeciw pompowaniu, temperatura pracy - od -5 C do + 40 C, styk migowy sygnalizacji wyłączenia, styki pomocnicze: 8 x NO + 8 x NC, styk sygnalizacji zbrojenia napędu 1 x NO + 1 x NC, przycisk załączający i wyłączający zamontowane na obudowie wyłącznika dostępne z korytarza obsługi, mechaniczny wskaźnik stanu położenia wyłącznika, wskaźnik stanu zbrojenia napędu, licznik cykli łączeniowych, możliwość zbrojenia napędu przy braku napięcia 220 V DC,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3.</w:t>
      </w:r>
      <w:r w:rsidRPr="00A32CE3">
        <w:rPr>
          <w:rFonts w:ascii="Calibri" w:hAnsi="Calibri" w:cs="Calibri"/>
          <w:b/>
        </w:rPr>
        <w:tab/>
        <w:t>Należy sprawdzić i ewentualnie wymienić w polu: wszystkie sterowniki pakietowe (łączniki krzywkowe itd), oprzewodowanie, listwy (w tym listwę obwodów okrężnych), bezpieczniki, nakładki, przyciski sterownicze itd.,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4.</w:t>
      </w:r>
      <w:r w:rsidRPr="00A32CE3">
        <w:rPr>
          <w:rFonts w:ascii="Calibri" w:hAnsi="Calibri" w:cs="Calibri"/>
          <w:b/>
        </w:rPr>
        <w:tab/>
        <w:t>Zamontować listwę kontrolną pomiarową,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5.</w:t>
      </w:r>
      <w:r w:rsidRPr="00A32CE3">
        <w:rPr>
          <w:rFonts w:ascii="Calibri" w:hAnsi="Calibri" w:cs="Calibri"/>
          <w:b/>
        </w:rPr>
        <w:tab/>
        <w:t>Przekonfigurować/doposażyć sterownik telemechaniki wraz z edycją w systemie WindEx,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6.</w:t>
      </w:r>
      <w:r w:rsidRPr="00A32CE3">
        <w:rPr>
          <w:rFonts w:ascii="Calibri" w:hAnsi="Calibri" w:cs="Calibri"/>
          <w:b/>
        </w:rPr>
        <w:tab/>
        <w:t>Wykonanie dokumentacji technicznej ww. pola 15 kV (w zakresie całego pola),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7.</w:t>
      </w:r>
      <w:r w:rsidRPr="00A32CE3">
        <w:rPr>
          <w:rFonts w:ascii="Calibri" w:hAnsi="Calibri" w:cs="Calibri"/>
          <w:b/>
        </w:rPr>
        <w:tab/>
        <w:t>Wykonać obliczenie nastaw dla pola 15 kV,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8.</w:t>
      </w:r>
      <w:r w:rsidRPr="00A32CE3">
        <w:rPr>
          <w:rFonts w:ascii="Calibri" w:hAnsi="Calibri" w:cs="Calibri"/>
          <w:b/>
        </w:rPr>
        <w:tab/>
        <w:t>Pole po wykonanych pracach należy pozostawić w pełni sprawne,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9.</w:t>
      </w:r>
      <w:r w:rsidRPr="00A32CE3">
        <w:rPr>
          <w:rFonts w:ascii="Calibri" w:hAnsi="Calibri" w:cs="Calibri"/>
          <w:b/>
        </w:rPr>
        <w:tab/>
        <w:t>Zdemontowane wyposażenie przekazać do Wydziału Specjalistycznego lub zutylizować po uzgodnieniu z w.w. Wydziałem,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Układy pomiarowe bilansowo-kontrolne w stacjach WN/SN powinny spełniać wymagania obowiązującej IRiESD i obowiązujących WBSE Tom 7  w szczególności: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1.</w:t>
      </w:r>
      <w:r w:rsidRPr="00A32CE3">
        <w:rPr>
          <w:rFonts w:ascii="Calibri" w:hAnsi="Calibri" w:cs="Calibri"/>
          <w:b/>
        </w:rPr>
        <w:tab/>
        <w:t xml:space="preserve">Muszą być wyposażone w przekładniki prądowe o rdzeniach pomiarowych w klasie dokładności nie gorszej niż 0,2s  i napięciowe o  uzwojeniach pomiarowych w klasie dokładności nie gorszej niż 0,2 z </w:t>
      </w:r>
      <w:r w:rsidRPr="00A32CE3">
        <w:rPr>
          <w:rFonts w:ascii="Calibri" w:hAnsi="Calibri" w:cs="Calibri"/>
          <w:b/>
        </w:rPr>
        <w:lastRenderedPageBreak/>
        <w:t xml:space="preserve">dedykowanymi rdzeniami/uzwojeniami pomiarowymi  z uwzględnieniem możliwie najmniejszej liczby łączeń do licznikowych listew kontrolno-pomiarowych przystosowanych do plombowania. 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2.</w:t>
      </w:r>
      <w:r w:rsidRPr="00A32CE3">
        <w:rPr>
          <w:rFonts w:ascii="Calibri" w:hAnsi="Calibri" w:cs="Calibri"/>
          <w:b/>
        </w:rPr>
        <w:tab/>
        <w:t xml:space="preserve">Przekładniki napięciowe w układach bilansowo-kontrolnych należy zabezpieczyć po stronie uzwojenia wtórnego. 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3.</w:t>
      </w:r>
      <w:r w:rsidRPr="00A32CE3">
        <w:rPr>
          <w:rFonts w:ascii="Calibri" w:hAnsi="Calibri" w:cs="Calibri"/>
          <w:b/>
        </w:rPr>
        <w:tab/>
        <w:t>Nie należy stosować rezystorów dociążających dla przekładników napięciowych oraz prądowych. (poza technicznie niezbędnymi i uzasadnionymi przypadkami)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4.</w:t>
      </w:r>
      <w:r w:rsidRPr="00A32CE3">
        <w:rPr>
          <w:rFonts w:ascii="Calibri" w:hAnsi="Calibri" w:cs="Calibri"/>
          <w:b/>
        </w:rPr>
        <w:tab/>
        <w:t>Współczynnik bezpieczeństwa przyrządu (FS) dla przekładników prądowych w układach pomiarowych powinien być ≤5.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5.</w:t>
      </w:r>
      <w:r w:rsidRPr="00A32CE3">
        <w:rPr>
          <w:rFonts w:ascii="Calibri" w:hAnsi="Calibri" w:cs="Calibri"/>
          <w:b/>
        </w:rPr>
        <w:tab/>
        <w:t>Liczniki energii elektrycznej muszą być  statyczne, czterokwadrantowe, wielostrefowe, 3-fazowe z wbudowanym zegarem sterującym, wykonanie zgodne z obowiązującymi na obszarze Rzeczpospolitej Polskiej przepisami. Powinny mieć klasę dokładności nie gorszą niż C dla pomiaru energii czynnej nie gorszą niż 1 lub 1S dla pomiaru energii biernej. Dodatkowo muszą mieć możliwość zdalnej i lokalnej zmiany metody pomiaru i rejestracji energii z metody wektorowej na metodę arytmetyczną, rejestracje i przechowywanie w pamięci pomiarów wymaganych profili obciążenia oraz zapewniać odczyt lokalny w przypadku awarii łączy transmisyjnych lub w celach kontrolnych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6.</w:t>
      </w:r>
      <w:r w:rsidRPr="00A32CE3">
        <w:rPr>
          <w:rFonts w:ascii="Calibri" w:hAnsi="Calibri" w:cs="Calibri"/>
          <w:b/>
        </w:rPr>
        <w:tab/>
        <w:t xml:space="preserve"> Muszą posiadać najmniej dwa niezależne interfejsy elektryczne typu RS485 lub RS 232 oraz port Ethernet (LAN)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7.</w:t>
      </w:r>
      <w:r w:rsidRPr="00A32CE3">
        <w:rPr>
          <w:rFonts w:ascii="Calibri" w:hAnsi="Calibri" w:cs="Calibri"/>
          <w:b/>
        </w:rPr>
        <w:tab/>
        <w:t>Z liczników energii elektrycznej należy wyprowadzić zdalną transmisję danych pomiarowych dwutorową.  Interfejs Ethernet 10/100 Mbps (gniazdo RJ-45) jako drogę podstawową oraz gprs (w technologii LTE 450+4G) jako rezerwową drogę transmisji danych  za pośrednictwem wyjść cyfrowych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8.</w:t>
      </w:r>
      <w:r w:rsidRPr="00A32CE3">
        <w:rPr>
          <w:rFonts w:ascii="Calibri" w:hAnsi="Calibri" w:cs="Calibri"/>
          <w:b/>
        </w:rPr>
        <w:tab/>
        <w:t>Układy pomiarowe należy instalować w oddzielnych szafach pomiarowych zlokalizowanych w pomieszczeniach nastawni. Nie dopuszczamy pod żadnym pozorem montażu liczniku w celce pola 15 kV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9.</w:t>
      </w:r>
      <w:r w:rsidRPr="00A32CE3">
        <w:rPr>
          <w:rFonts w:ascii="Calibri" w:hAnsi="Calibri" w:cs="Calibri"/>
          <w:b/>
        </w:rPr>
        <w:tab/>
        <w:t xml:space="preserve">Listwy kontrolno-pomiarowe muszą posiadać zaciski sprężynowe do podłączania obwodów wtórnych układów pomiarowych zabezpieczania (w postaci bezpieczników topikowych) w torach napięciowych jeżeli warunki zwarciowe tego wymagają, powinny umożliwiać połącznie urządzenia kontrolnego (np. analizator obwodów trójfazowych, licznik kontrolny)  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Uwaga: Wszystkie urządzenia, elementy układów pomiarowych dostarcza wykonawca.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 xml:space="preserve"> 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W przypadku realizacji transmisji przez sieć GSM zastosować modem/router zgodny ze specyfikacją: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możliwość pracy 2 karty SIM (jedna karta działa jako podstawowa droga transmisji a druga zapewnia redundancję połączenia jeśli przez pierwszą nie ma połączenia)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1 wejście antenowe;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Interfejs ETH 1 x 10/100 Mbps;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zasilanie 9 – 48 V DC;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temperatura pracy w zakresie od  -25 do +60°C;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klasa szczelności co najmniej IP30;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Montaż na szynie DIN;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obsługa GPRS/3G/LTE i LTE 450;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IPsec /VPN/GRE/L2TP/PPTP;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Zarządzanie przez serwer, lokalnie poprzez LAN, oraz zdalnie poprzez WAN;</w:t>
      </w:r>
    </w:p>
    <w:p w:rsidR="0084053C" w:rsidRPr="00A32CE3" w:rsidRDefault="0084053C" w:rsidP="0084053C">
      <w:pPr>
        <w:rPr>
          <w:rFonts w:ascii="Calibri" w:hAnsi="Calibri" w:cs="Calibri"/>
          <w:b/>
        </w:rPr>
      </w:pPr>
      <w:r w:rsidRPr="00A32CE3">
        <w:rPr>
          <w:rFonts w:ascii="Calibri" w:hAnsi="Calibri" w:cs="Calibri"/>
          <w:b/>
        </w:rPr>
        <w:t>―</w:t>
      </w:r>
      <w:r w:rsidRPr="00A32CE3">
        <w:rPr>
          <w:rFonts w:ascii="Calibri" w:hAnsi="Calibri" w:cs="Calibri"/>
          <w:b/>
        </w:rPr>
        <w:tab/>
        <w:t>konfiguracja WEB serwer, SSH, kopia zapasowa i odtwarzanie konfiguracji;</w:t>
      </w:r>
    </w:p>
    <w:p w:rsidR="004D3A15" w:rsidRPr="0084053C" w:rsidRDefault="0084053C" w:rsidP="0084053C">
      <w:pPr>
        <w:pStyle w:val="Nagwek1"/>
        <w:numPr>
          <w:ilvl w:val="0"/>
          <w:numId w:val="0"/>
        </w:numPr>
        <w:ind w:left="432"/>
        <w:rPr>
          <w:sz w:val="20"/>
          <w:lang w:val="pl-PL"/>
        </w:rPr>
      </w:pPr>
      <w:r w:rsidRPr="0084053C">
        <w:rPr>
          <w:rFonts w:cs="Calibri"/>
          <w:sz w:val="20"/>
        </w:rPr>
        <w:lastRenderedPageBreak/>
        <w:t>―</w:t>
      </w:r>
      <w:r w:rsidRPr="0084053C">
        <w:rPr>
          <w:rFonts w:cs="Calibri"/>
          <w:sz w:val="20"/>
        </w:rPr>
        <w:tab/>
        <w:t>Protokoły PPP, PPPoE, TCP, UDP, DHCP, ICMP, NAT,  HTTPs, DNS, ARP, NTP, SMTP, VLAN, SSH2, DDNS, LwM2M, TR069</w:t>
      </w:r>
    </w:p>
    <w:p w:rsidR="00121410" w:rsidRDefault="00121410" w:rsidP="004D3A15">
      <w:pPr>
        <w:pStyle w:val="Nagwek1"/>
        <w:rPr>
          <w:lang w:val="pl-PL"/>
        </w:rPr>
      </w:pPr>
      <w:r w:rsidRPr="00121410">
        <w:rPr>
          <w:lang w:val="pl-PL"/>
        </w:rPr>
        <w:t>Przygotowanie dokumentacji projektowej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projektowej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C040AB">
        <w:rPr>
          <w:rFonts w:ascii="Calibri" w:hAnsi="Calibri"/>
          <w:color w:val="000000"/>
          <w:sz w:val="22"/>
          <w:szCs w:val="22"/>
        </w:rPr>
        <w:t xml:space="preserve">Rozwiązania techniczne, zastosowanie materiałów i urządzeń elektroenergetycznych winny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„Wytyczne do budowy systemów elektroenergetycznych w PGE Dystrybucja S.A”</w:t>
      </w:r>
      <w:r w:rsidR="00286B0E">
        <w:rPr>
          <w:rFonts w:ascii="Calibri" w:hAnsi="Calibri"/>
          <w:color w:val="000000"/>
          <w:sz w:val="22"/>
          <w:szCs w:val="22"/>
        </w:rPr>
        <w:t>.</w:t>
      </w:r>
    </w:p>
    <w:bookmarkEnd w:id="2"/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Dokumentacja projektowa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do uzgodnień i akceptacji</w:t>
      </w:r>
      <w:r w:rsidR="00E1551C" w:rsidRPr="00E1551C">
        <w:rPr>
          <w:rFonts w:ascii="Calibri" w:hAnsi="Calibri"/>
          <w:color w:val="000000"/>
          <w:sz w:val="22"/>
        </w:rPr>
        <w:t xml:space="preserve"> </w:t>
      </w:r>
      <w:r w:rsidR="00E1551C" w:rsidRPr="00A71BDA">
        <w:rPr>
          <w:rFonts w:ascii="Calibri" w:hAnsi="Calibri"/>
          <w:color w:val="000000"/>
          <w:sz w:val="22"/>
        </w:rPr>
        <w:t>przed zgłoszeniem wykonania robót budowlano –</w:t>
      </w:r>
      <w:r>
        <w:rPr>
          <w:rFonts w:ascii="Calibri" w:hAnsi="Calibri"/>
          <w:color w:val="000000"/>
          <w:sz w:val="22"/>
        </w:rPr>
        <w:t xml:space="preserve"> montażowych i ich rozpoczęciem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z wiedzą techniczną.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>dokumentacji projektowej</w:t>
      </w:r>
      <w:r w:rsidRPr="00A71BDA">
        <w:rPr>
          <w:rFonts w:ascii="Calibri" w:hAnsi="Calibri"/>
          <w:color w:val="000000"/>
          <w:sz w:val="22"/>
        </w:rPr>
        <w:t>, w zakresie czynności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W dokumentacji projektowej </w:t>
      </w:r>
      <w:r w:rsidR="00A71BDA" w:rsidRPr="00A71BDA">
        <w:rPr>
          <w:rFonts w:ascii="Calibri" w:hAnsi="Calibri"/>
          <w:color w:val="000000"/>
          <w:sz w:val="22"/>
        </w:rPr>
        <w:t>utrzymać zgodnoś</w:t>
      </w:r>
      <w:r>
        <w:rPr>
          <w:rFonts w:ascii="Calibri" w:hAnsi="Calibri"/>
          <w:color w:val="000000"/>
          <w:sz w:val="22"/>
        </w:rPr>
        <w:t xml:space="preserve">ć nadanych oznakowań, opisów, </w:t>
      </w:r>
      <w:r w:rsidR="00A71BDA" w:rsidRPr="00A71BDA">
        <w:rPr>
          <w:rFonts w:ascii="Calibri" w:hAnsi="Calibri"/>
          <w:color w:val="000000"/>
          <w:sz w:val="22"/>
        </w:rPr>
        <w:t>relacji, identyfikujących urządzenia w terenie.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Pr="002E275F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064A37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A71BDA" w:rsidRPr="003638C4" w:rsidRDefault="00A71BDA" w:rsidP="003638C4">
      <w:pPr>
        <w:pStyle w:val="Nagwek1"/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D3A15" w:rsidRPr="004D3A15">
        <w:rPr>
          <w:rFonts w:ascii="Calibri" w:hAnsi="Calibri"/>
          <w:b/>
          <w:bCs/>
          <w:sz w:val="22"/>
          <w:szCs w:val="22"/>
          <w:lang w:eastAsia="x-none"/>
        </w:rPr>
        <w:t>0</w:t>
      </w:r>
      <w:r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4D3A15"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0 </w:t>
      </w:r>
      <w:r w:rsidR="004D3A15"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</w:p>
    <w:p w:rsidR="00400AD7" w:rsidRPr="000D395B" w:rsidRDefault="00400AD7" w:rsidP="007572F0">
      <w:pPr>
        <w:pStyle w:val="Styl2"/>
        <w:numPr>
          <w:ilvl w:val="0"/>
          <w:numId w:val="10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wyłączeń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920C89">
      <w:pPr>
        <w:pStyle w:val="Styl2"/>
        <w:numPr>
          <w:ilvl w:val="0"/>
          <w:numId w:val="10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9757F9" w:rsidRDefault="00920C89" w:rsidP="00920C89">
      <w:pPr>
        <w:pStyle w:val="Styl2"/>
        <w:numPr>
          <w:ilvl w:val="0"/>
          <w:numId w:val="10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>prowadzenia prac przez firmy zewnętrzne w systemie samodopuszczeń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786C81">
      <w:pPr>
        <w:pStyle w:val="Styl2"/>
        <w:numPr>
          <w:ilvl w:val="0"/>
          <w:numId w:val="10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84499D" w:rsidRDefault="00920C89" w:rsidP="00920C89">
      <w:pPr>
        <w:pStyle w:val="Styl2"/>
        <w:numPr>
          <w:ilvl w:val="0"/>
          <w:numId w:val="10"/>
        </w:numPr>
      </w:pPr>
      <w:r w:rsidRPr="009757F9">
        <w:rPr>
          <w:lang w:val="pl-PL"/>
        </w:rPr>
        <w:t xml:space="preserve">Na Wykonawcy spoczywa </w:t>
      </w:r>
      <w:r w:rsidRPr="009757F9">
        <w:t xml:space="preserve">obowiązek zakupu </w:t>
      </w:r>
      <w:r w:rsidRPr="0084499D">
        <w:t xml:space="preserve">dziennika budowy i przekazania go do </w:t>
      </w:r>
      <w:r>
        <w:rPr>
          <w:lang w:val="pl-PL"/>
        </w:rPr>
        <w:t>Zamawiającego</w:t>
      </w:r>
      <w:r w:rsidR="00286B0E">
        <w:rPr>
          <w:lang w:val="pl-PL"/>
        </w:rPr>
        <w:t xml:space="preserve"> – jeżeli przedmiot prac tego wymaga</w:t>
      </w:r>
      <w:r w:rsidR="006E6D32">
        <w:rPr>
          <w:lang w:val="pl-PL"/>
        </w:rPr>
        <w:t>.</w:t>
      </w:r>
    </w:p>
    <w:p w:rsidR="0084499D" w:rsidRPr="00040D5A" w:rsidRDefault="0084499D" w:rsidP="00576DD1">
      <w:pPr>
        <w:pStyle w:val="Styl2"/>
        <w:numPr>
          <w:ilvl w:val="0"/>
          <w:numId w:val="10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A82315">
      <w:pPr>
        <w:pStyle w:val="Styl2"/>
        <w:numPr>
          <w:ilvl w:val="0"/>
          <w:numId w:val="10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12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5E5776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786C81">
      <w:pPr>
        <w:pStyle w:val="Styl2"/>
        <w:numPr>
          <w:ilvl w:val="0"/>
          <w:numId w:val="12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594EB3">
      <w:pPr>
        <w:pStyle w:val="Nagwek2"/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3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>dokumentację projektową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FA1A2A" w:rsidP="00E1551C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A076B3" w:rsidRPr="004D3A15" w:rsidRDefault="004D3A15" w:rsidP="003638C4">
      <w:pPr>
        <w:pStyle w:val="Akapitzlist"/>
        <w:numPr>
          <w:ilvl w:val="0"/>
          <w:numId w:val="32"/>
        </w:numPr>
        <w:rPr>
          <w:rFonts w:asciiTheme="minorHAnsi" w:hAnsiTheme="minorHAnsi"/>
          <w:lang w:eastAsia="x-none"/>
        </w:rPr>
      </w:pPr>
      <w:r w:rsidRPr="004D3A15">
        <w:rPr>
          <w:rFonts w:asciiTheme="minorHAnsi" w:hAnsiTheme="minorHAnsi"/>
          <w:lang w:eastAsia="x-none"/>
        </w:rPr>
        <w:t>Warunki przyłączenia.</w:t>
      </w:r>
    </w:p>
    <w:sectPr w:rsidR="00A076B3" w:rsidRPr="004D3A15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8E" w:rsidRDefault="0061598E">
      <w:r>
        <w:separator/>
      </w:r>
    </w:p>
  </w:endnote>
  <w:endnote w:type="continuationSeparator" w:id="0">
    <w:p w:rsidR="0061598E" w:rsidRDefault="0061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1C" w:rsidRDefault="00AE59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591C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1C" w:rsidRDefault="00AE5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8E" w:rsidRDefault="0061598E">
      <w:r>
        <w:separator/>
      </w:r>
    </w:p>
  </w:footnote>
  <w:footnote w:type="continuationSeparator" w:id="0">
    <w:p w:rsidR="0061598E" w:rsidRDefault="0061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1C" w:rsidRDefault="00AE59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Default="00786C81" w:rsidP="00786C81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</w:p>
  <w:p w:rsidR="00AE591C" w:rsidRPr="008222A2" w:rsidRDefault="00AE591C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AE591C">
      <w:rPr>
        <w:rFonts w:ascii="Calibri" w:hAnsi="Calibri" w:cs="Calibri"/>
        <w:caps w:val="0"/>
        <w:sz w:val="24"/>
      </w:rPr>
      <w:t>POST/DYS/OLD/GZ/01389/2025</w:t>
    </w:r>
    <w:bookmarkStart w:id="3" w:name="_GoBack"/>
    <w:bookmarkEnd w:id="3"/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1C" w:rsidRDefault="00AE59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7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8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6"/>
  </w:num>
  <w:num w:numId="2">
    <w:abstractNumId w:val="69"/>
  </w:num>
  <w:num w:numId="3">
    <w:abstractNumId w:val="73"/>
  </w:num>
  <w:num w:numId="4">
    <w:abstractNumId w:val="77"/>
  </w:num>
  <w:num w:numId="5">
    <w:abstractNumId w:val="67"/>
  </w:num>
  <w:num w:numId="6">
    <w:abstractNumId w:val="74"/>
  </w:num>
  <w:num w:numId="7">
    <w:abstractNumId w:val="81"/>
  </w:num>
  <w:num w:numId="8">
    <w:abstractNumId w:val="80"/>
  </w:num>
  <w:num w:numId="9">
    <w:abstractNumId w:val="60"/>
  </w:num>
  <w:num w:numId="10">
    <w:abstractNumId w:val="79"/>
  </w:num>
  <w:num w:numId="11">
    <w:abstractNumId w:val="53"/>
  </w:num>
  <w:num w:numId="12">
    <w:abstractNumId w:val="56"/>
  </w:num>
  <w:num w:numId="13">
    <w:abstractNumId w:val="62"/>
  </w:num>
  <w:num w:numId="14">
    <w:abstractNumId w:val="63"/>
  </w:num>
  <w:num w:numId="15">
    <w:abstractNumId w:val="70"/>
  </w:num>
  <w:num w:numId="16">
    <w:abstractNumId w:val="75"/>
  </w:num>
  <w:num w:numId="1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0"/>
  </w:num>
  <w:num w:numId="20">
    <w:abstractNumId w:val="61"/>
  </w:num>
  <w:num w:numId="21">
    <w:abstractNumId w:val="68"/>
  </w:num>
  <w:num w:numId="22">
    <w:abstractNumId w:val="65"/>
  </w:num>
  <w:num w:numId="23">
    <w:abstractNumId w:val="59"/>
  </w:num>
  <w:num w:numId="24">
    <w:abstractNumId w:val="78"/>
  </w:num>
  <w:num w:numId="25">
    <w:abstractNumId w:val="66"/>
  </w:num>
  <w:num w:numId="26">
    <w:abstractNumId w:val="54"/>
  </w:num>
  <w:num w:numId="27">
    <w:abstractNumId w:val="7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8"/>
  </w:num>
  <w:num w:numId="3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5"/>
  </w:num>
  <w:num w:numId="32">
    <w:abstractNumId w:val="72"/>
  </w:num>
  <w:num w:numId="33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53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591C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0A1FF2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 do SWZ (bez pozwolenia na budowę i zgłoszenia) - część 3.docx</dmsv2BaseFileName>
    <dmsv2BaseDisplayName xmlns="http://schemas.microsoft.com/sharepoint/v3">Załącznik nr 1.7  do SWZ (bez pozwolenia na budowę i zgłoszenia) - część 3</dmsv2BaseDisplayName>
    <dmsv2SWPP2ObjectNumber xmlns="http://schemas.microsoft.com/sharepoint/v3">POST/DYS/OLD/GZ/01389/2025                        </dmsv2SWPP2ObjectNumber>
    <dmsv2SWPP2SumMD5 xmlns="http://schemas.microsoft.com/sharepoint/v3">7ba347eee50cd520539b19448e88eaa3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677075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22190884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MUFVPD5EPY3P-1521707631-23212</_dlc_DocId>
    <_dlc_DocIdUrl xmlns="a19cb1c7-c5c7-46d4-85ae-d83685407bba">
      <Url>https://swpp2.dms.gkpge.pl/sites/36/_layouts/15/DocIdRedir.aspx?ID=MUFVPD5EPY3P-1521707631-23212</Url>
      <Description>MUFVPD5EPY3P-1521707631-23212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6B5E3-8C2D-4A4B-B9B1-8C751A97375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E674F4-E5CC-4A8C-A19F-55202583F88A}"/>
</file>

<file path=customXml/itemProps3.xml><?xml version="1.0" encoding="utf-8"?>
<ds:datastoreItem xmlns:ds="http://schemas.openxmlformats.org/officeDocument/2006/customXml" ds:itemID="{A076CE7F-FBB5-4D3B-9FAF-97D1E6981D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9C4A989-9BA9-4940-B31A-48296D77AF3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EB5C5E-62C9-414A-86B0-FF080CBD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1832</Words>
  <Characters>10992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59</cp:revision>
  <cp:lastPrinted>2011-10-20T15:55:00Z</cp:lastPrinted>
  <dcterms:created xsi:type="dcterms:W3CDTF">2015-07-14T04:54:00Z</dcterms:created>
  <dcterms:modified xsi:type="dcterms:W3CDTF">2025-04-14T12:42:00Z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f1074377-aa0a-46f3-96bb-4bbfe9e0b849</vt:lpwstr>
  </property>
</Properties>
</file>