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985E90" w:rsidRDefault="00C244DC" w:rsidP="00E12AB0">
      <w:pPr>
        <w:pStyle w:val="Nagwek1"/>
        <w:shd w:val="clear" w:color="auto" w:fill="C6D9F1" w:themeFill="text2" w:themeFillTint="33"/>
        <w:spacing w:before="360"/>
        <w:rPr>
          <w:rFonts w:cstheme="minorHAnsi"/>
          <w:color w:val="7030A0"/>
          <w:sz w:val="20"/>
          <w:szCs w:val="20"/>
        </w:rPr>
      </w:pPr>
      <w:bookmarkStart w:id="0" w:name="_Toc18928753"/>
      <w:bookmarkStart w:id="1" w:name="_Toc516738909"/>
      <w:r w:rsidRPr="00985E90">
        <w:rPr>
          <w:rFonts w:cstheme="minorHAnsi"/>
          <w:color w:val="7030A0"/>
          <w:sz w:val="20"/>
          <w:szCs w:val="20"/>
        </w:rPr>
        <w:t>ZAŁĄCZNIK NR 2 DO S</w:t>
      </w:r>
      <w:r w:rsidR="00B57327" w:rsidRPr="00985E90">
        <w:rPr>
          <w:rFonts w:cstheme="minorHAnsi"/>
          <w:color w:val="7030A0"/>
          <w:sz w:val="20"/>
          <w:szCs w:val="20"/>
        </w:rPr>
        <w:t>WZ – WA</w:t>
      </w:r>
      <w:r w:rsidR="000339B0" w:rsidRPr="00985E90">
        <w:rPr>
          <w:rFonts w:cstheme="minorHAnsi"/>
          <w:color w:val="7030A0"/>
          <w:sz w:val="20"/>
          <w:szCs w:val="20"/>
        </w:rPr>
        <w:t>RUNKI UDZIAŁU W POSTĘPOWANIU</w:t>
      </w:r>
      <w:r w:rsidR="00156D62" w:rsidRPr="00985E90">
        <w:rPr>
          <w:rFonts w:cstheme="minorHAnsi"/>
          <w:color w:val="7030A0"/>
          <w:sz w:val="20"/>
          <w:szCs w:val="20"/>
        </w:rPr>
        <w:t xml:space="preserve"> ORAZ PRZESŁANKI WYKLUCZENIA, </w:t>
      </w:r>
      <w:r w:rsidR="00B57327" w:rsidRPr="00985E90">
        <w:rPr>
          <w:rFonts w:cstheme="minorHAnsi"/>
          <w:color w:val="7030A0"/>
          <w:sz w:val="20"/>
          <w:szCs w:val="20"/>
        </w:rPr>
        <w:t>OPIS SPOSOBU OCENY</w:t>
      </w:r>
      <w:r w:rsidR="00156D62" w:rsidRPr="00985E90">
        <w:rPr>
          <w:rFonts w:cstheme="minorHAnsi"/>
          <w:color w:val="7030A0"/>
          <w:sz w:val="20"/>
          <w:szCs w:val="20"/>
        </w:rPr>
        <w:t>,</w:t>
      </w:r>
      <w:r w:rsidR="000339B0" w:rsidRPr="00985E90">
        <w:rPr>
          <w:rFonts w:cstheme="minorHAnsi"/>
          <w:color w:val="7030A0"/>
          <w:sz w:val="20"/>
          <w:szCs w:val="20"/>
        </w:rPr>
        <w:t xml:space="preserve"> </w:t>
      </w:r>
      <w:r w:rsidR="00BF7635" w:rsidRPr="00985E90">
        <w:rPr>
          <w:rFonts w:cstheme="minorHAnsi"/>
          <w:color w:val="7030A0"/>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48088CB6"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1D59145E" w14:textId="05065C51" w:rsidR="0026034B" w:rsidRPr="0026034B" w:rsidRDefault="0026034B" w:rsidP="0026034B">
      <w:pPr>
        <w:numPr>
          <w:ilvl w:val="0"/>
          <w:numId w:val="14"/>
        </w:numPr>
        <w:spacing w:before="60" w:after="120" w:line="240" w:lineRule="auto"/>
        <w:ind w:left="993" w:hanging="284"/>
        <w:contextualSpacing/>
        <w:rPr>
          <w:rFonts w:asciiTheme="minorHAnsi" w:hAnsiTheme="minorHAnsi" w:cstheme="minorHAnsi"/>
          <w:sz w:val="20"/>
          <w:lang w:eastAsia="pl-PL"/>
        </w:rPr>
      </w:pPr>
      <w:bookmarkStart w:id="2" w:name="_GoBack"/>
      <w:bookmarkEnd w:id="2"/>
      <w:r w:rsidRPr="0026034B">
        <w:rPr>
          <w:rFonts w:asciiTheme="minorHAnsi" w:hAnsiTheme="minorHAnsi" w:cstheme="minorHAnsi"/>
          <w:sz w:val="20"/>
          <w:lang w:eastAsia="pl-PL"/>
        </w:rPr>
        <w:t xml:space="preserve">posiadają uprawnienia do prowadzenia prac sieciowych (sieci i urządzenia </w:t>
      </w:r>
      <w:proofErr w:type="spellStart"/>
      <w:r w:rsidRPr="0026034B">
        <w:rPr>
          <w:rFonts w:asciiTheme="minorHAnsi" w:hAnsiTheme="minorHAnsi" w:cstheme="minorHAnsi"/>
          <w:sz w:val="20"/>
          <w:lang w:eastAsia="pl-PL"/>
        </w:rPr>
        <w:t>nN</w:t>
      </w:r>
      <w:proofErr w:type="spellEnd"/>
      <w:r w:rsidRPr="0026034B">
        <w:rPr>
          <w:rFonts w:asciiTheme="minorHAnsi" w:hAnsiTheme="minorHAnsi" w:cstheme="minorHAnsi"/>
          <w:sz w:val="20"/>
          <w:lang w:eastAsia="pl-PL"/>
        </w:rPr>
        <w:t>) w technologii PPN (prac pod napięciem) – 2 osoby – cz.1</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77777777"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wzorem wskazanym w Załączniku nr 10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3F9FC76D"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Dokumenty składające się na ofertę wymienione w pkt 3.1. powyżej nie podlegają uzupełnieniu </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EECA00F" w14:textId="777C4860"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4F5E71">
        <w:rPr>
          <w:rFonts w:asciiTheme="minorHAnsi" w:hAnsiTheme="minorHAnsi" w:cstheme="minorHAnsi"/>
          <w:sz w:val="20"/>
        </w:rPr>
        <w:t xml:space="preserve">, </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186AB5EE"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4F5E71">
        <w:rPr>
          <w:rFonts w:asciiTheme="minorHAnsi" w:hAnsiTheme="minorHAnsi" w:cstheme="minorHAnsi"/>
          <w:sz w:val="20"/>
        </w:rPr>
        <w:t>, 2.8.,</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CF852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6034B">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6034B">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55DDA42B" w:rsidR="002369B6" w:rsidRPr="004C6290" w:rsidRDefault="004C6290" w:rsidP="004C6290">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2C86E94E" wp14:editId="4EB12EF3">
          <wp:extent cx="876300" cy="681355"/>
          <wp:effectExtent l="0" t="0" r="0" b="4445"/>
          <wp:docPr id="2" name="Obraz 2"/>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F5E71">
          <w:rPr>
            <w:rFonts w:asciiTheme="minorHAnsi" w:hAnsiTheme="minorHAnsi" w:cstheme="minorHAnsi"/>
            <w:sz w:val="18"/>
            <w:szCs w:val="18"/>
          </w:rPr>
          <w:t>POST/DYS/OLD/GZ/01389/2025</w:t>
        </w:r>
      </w:sdtContent>
    </w:sdt>
    <w:r w:rsidR="002369B6" w:rsidRPr="00A31C7C">
      <w:rPr>
        <w:rFonts w:asciiTheme="minorHAnsi" w:hAnsiTheme="minorHAnsi" w:cstheme="minorHAnsi"/>
        <w:color w:val="4F81BD" w:themeColor="accent1"/>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397F5D92" w:rsidR="006A25A9" w:rsidRDefault="004C6290" w:rsidP="004C6290">
    <w:pPr>
      <w:pStyle w:val="Nagwek"/>
      <w:tabs>
        <w:tab w:val="clear" w:pos="4536"/>
        <w:tab w:val="clear" w:pos="9072"/>
        <w:tab w:val="left" w:pos="2038"/>
      </w:tabs>
    </w:pPr>
    <w:r>
      <w:rPr>
        <w:noProof/>
        <w:lang w:eastAsia="pl-PL"/>
      </w:rPr>
      <w:drawing>
        <wp:inline distT="0" distB="0" distL="0" distR="0" wp14:anchorId="7B6E3379" wp14:editId="4DB99886">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4F5E71" w:rsidRPr="004F5E71">
          <w:rPr>
            <w:rFonts w:asciiTheme="minorHAnsi" w:hAnsiTheme="minorHAnsi" w:cstheme="minorHAnsi"/>
            <w:sz w:val="18"/>
            <w:szCs w:val="18"/>
          </w:rPr>
          <w:t>POST/DYS/OLD/GZ/01389/2025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034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C6290"/>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E71"/>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5E90"/>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PT+RBM (4).docx</dmsv2BaseFileName>
    <dmsv2BaseDisplayName xmlns="http://schemas.microsoft.com/sharepoint/v3">Załącznik nr 2 do SWZ - Warunki udziału w postepowaniu PT+RBM (4)</dmsv2BaseDisplayName>
    <dmsv2SWPP2ObjectNumber xmlns="http://schemas.microsoft.com/sharepoint/v3">POST/DYS/OLD/GZ/01389/2025                        </dmsv2SWPP2ObjectNumber>
    <dmsv2SWPP2SumMD5 xmlns="http://schemas.microsoft.com/sharepoint/v3">ce46f1e1880f8394ee6081a0b96e7ef6</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22190889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MUFVPD5EPY3P-1521707631-23216</_dlc_DocId>
    <_dlc_DocIdUrl xmlns="a19cb1c7-c5c7-46d4-85ae-d83685407bba">
      <Url>https://swpp2.dms.gkpge.pl/sites/36/_layouts/15/DocIdRedir.aspx?ID=MUFVPD5EPY3P-1521707631-23216</Url>
      <Description>MUFVPD5EPY3P-1521707631-23216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0472397-228A-4E25-A4F2-7D106F11F166}"/>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291A4F9-5DD9-445B-9837-259575DF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Pages>
  <Words>3639</Words>
  <Characters>21839</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POST/DYS/OLD/GZ/01389/2025</dc:subject>
  <dc:creator>Kurpiewska Katarzyna [PGE S.A.]</dc:creator>
  <cp:lastModifiedBy>Goc-Moszyńska Magdalena [PGE Dystr. O.Łódź]</cp:lastModifiedBy>
  <cp:revision>27</cp:revision>
  <cp:lastPrinted>2021-08-10T08:10:00Z</cp:lastPrinted>
  <dcterms:created xsi:type="dcterms:W3CDTF">2022-04-28T07:16:00Z</dcterms:created>
  <dcterms:modified xsi:type="dcterms:W3CDTF">2025-04-14T13:40:00Z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8190959c-59b8-4de4-82e9-eae322f6a8ba</vt:lpwstr>
  </property>
</Properties>
</file>