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8060DB" w:rsidRPr="008060DB" w:rsidRDefault="003B1B69" w:rsidP="008060DB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B1B69">
        <w:rPr>
          <w:rFonts w:asciiTheme="minorHAnsi" w:hAnsiTheme="minorHAnsi" w:cstheme="minorHAnsi"/>
          <w:sz w:val="22"/>
          <w:szCs w:val="22"/>
        </w:rPr>
        <w:t xml:space="preserve">   </w:t>
      </w:r>
      <w:r w:rsidR="008060DB" w:rsidRPr="008060D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- budowa linii SN od proj. słupa Pgo zasilanego z RPZ Ozorków p.2 Aleksandria </w:t>
      </w:r>
    </w:p>
    <w:p w:rsidR="003B1B69" w:rsidRPr="008060DB" w:rsidRDefault="008060DB" w:rsidP="008060DB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8060DB">
        <w:rPr>
          <w:rFonts w:eastAsia="Calibri" w:cs="Calibri"/>
          <w:sz w:val="22"/>
          <w:szCs w:val="22"/>
          <w:lang w:val="pl-PL" w:eastAsia="en-US"/>
        </w:rPr>
        <w:t>- budowa stacji transformatorowej wnętrzowej 20/1000 (wyposażona w pełni telemechanikę wraz z uruchomieniem) z transformatorem 400 kVA, projektowaną stację zasilić l</w:t>
      </w:r>
      <w:r w:rsidR="00CF19DD">
        <w:rPr>
          <w:rFonts w:eastAsia="Calibri" w:cs="Calibri"/>
          <w:sz w:val="22"/>
          <w:szCs w:val="22"/>
          <w:lang w:val="pl-PL" w:eastAsia="en-US"/>
        </w:rPr>
        <w:t>inią kablową 3xXRUHAKXS 1x120/25</w:t>
      </w:r>
      <w:r w:rsidRPr="008060DB">
        <w:rPr>
          <w:rFonts w:eastAsia="Calibri" w:cs="Calibri"/>
          <w:sz w:val="22"/>
          <w:szCs w:val="22"/>
          <w:lang w:val="pl-PL" w:eastAsia="en-US"/>
        </w:rPr>
        <w:t>mm</w:t>
      </w:r>
      <w:r w:rsidRPr="008060DB">
        <w:rPr>
          <w:rFonts w:eastAsia="Calibri" w:cs="Calibri"/>
          <w:sz w:val="22"/>
          <w:szCs w:val="22"/>
          <w:vertAlign w:val="superscript"/>
          <w:lang w:val="pl-PL" w:eastAsia="en-US"/>
        </w:rPr>
        <w:t xml:space="preserve">2 </w:t>
      </w:r>
      <w:r w:rsidRPr="008060DB">
        <w:rPr>
          <w:rFonts w:eastAsia="Calibri" w:cs="Calibri"/>
          <w:sz w:val="22"/>
          <w:szCs w:val="22"/>
          <w:lang w:val="pl-PL" w:eastAsia="en-US"/>
        </w:rPr>
        <w:t>- ok. 800 m oraz budowa przyłączy kablowych YAKXS 4x240 mm2 ( szt. 2 ) do złącza kablowo-pomiarowego układ półpośredni RBL+1P oraz złącza kablowo-pomiarowego ZK-3 RBL+2P, które należy zlokalizować przy projektowanej stacji SN/nN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2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w zakresie każdej nieruchomości, na której zlokalizowane są urządzenia </w:t>
      </w:r>
      <w:r w:rsidRPr="00A71BDA">
        <w:rPr>
          <w:rFonts w:ascii="Calibri" w:hAnsi="Calibri"/>
          <w:color w:val="000000"/>
          <w:sz w:val="22"/>
        </w:rPr>
        <w:lastRenderedPageBreak/>
        <w:t>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3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3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4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4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2735A2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3B1B69" w:rsidRPr="003B1B69">
        <w:rPr>
          <w:rFonts w:ascii="Calibri" w:hAnsi="Calibri"/>
          <w:b/>
          <w:bCs/>
          <w:sz w:val="22"/>
          <w:szCs w:val="22"/>
          <w:lang w:eastAsia="x-none"/>
        </w:rPr>
        <w:t>.</w:t>
      </w:r>
      <w:r w:rsidRPr="003B1B69">
        <w:rPr>
          <w:rFonts w:ascii="Calibri" w:hAnsi="Calibri"/>
          <w:bCs/>
          <w:sz w:val="22"/>
          <w:szCs w:val="22"/>
          <w:lang w:val="x-none" w:eastAsia="x-none"/>
        </w:rPr>
        <w:t xml:space="preserve"> </w:t>
      </w:r>
    </w:p>
    <w:p w:rsidR="0048169F" w:rsidRPr="002735A2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sz w:val="22"/>
          <w:szCs w:val="22"/>
          <w:lang w:eastAsia="x-none"/>
        </w:rPr>
        <w:t xml:space="preserve"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OŁD. </w:t>
      </w:r>
    </w:p>
    <w:p w:rsidR="0048169F" w:rsidRPr="002735A2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</w:t>
      </w:r>
      <w:r w:rsidRPr="002735A2">
        <w:rPr>
          <w:rFonts w:ascii="Calibri" w:hAnsi="Calibri"/>
          <w:bCs/>
          <w:strike/>
          <w:sz w:val="22"/>
          <w:szCs w:val="22"/>
          <w:lang w:val="x-none" w:eastAsia="x-none"/>
        </w:rPr>
        <w:lastRenderedPageBreak/>
        <w:t xml:space="preserve">zasilania dla stacji transformatorowych 15/0,4 kV wskazanych poniżej przez Zamawiającego. </w:t>
      </w:r>
    </w:p>
    <w:p w:rsidR="0048169F" w:rsidRPr="002735A2" w:rsidRDefault="0048169F" w:rsidP="0048169F">
      <w:pPr>
        <w:pStyle w:val="Akapitzlist"/>
        <w:ind w:left="1080" w:firstLine="0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2735A2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2735A2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2735A2" w:rsidRDefault="0048169F" w:rsidP="002735A2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2735A2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</w:t>
        </w:r>
        <w:r w:rsidR="0095007B" w:rsidRPr="00EB30A9">
          <w:rPr>
            <w:rStyle w:val="Hipercze"/>
          </w:rPr>
          <w:lastRenderedPageBreak/>
          <w:t>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7E" w:rsidRDefault="00433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327E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7E" w:rsidRDefault="00433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7E" w:rsidRDefault="00433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7E" w:rsidRDefault="0043327E" w:rsidP="0043327E">
    <w:pP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</w:pP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POST/DYS/OLD/GZ/01266/2025</w:t>
    </w: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 xml:space="preserve"> cz.4</w:t>
    </w:r>
    <w:bookmarkStart w:id="5" w:name="_GoBack"/>
    <w:bookmarkEnd w:id="5"/>
  </w:p>
  <w:p w:rsidR="0074541C" w:rsidRPr="008222A2" w:rsidRDefault="00C41EFA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7E" w:rsidRDefault="00433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35A2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27E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0DB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19DD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7634F4F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  <w:style w:type="character" w:styleId="Pogrubienie">
    <w:name w:val="Strong"/>
    <w:basedOn w:val="Domylnaczcionkaakapitu"/>
    <w:uiPriority w:val="22"/>
    <w:qFormat/>
    <w:rsid w:val="00433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1.7 do SWZ - cz.4.docx</dmsv2BaseFileName>
    <dmsv2BaseDisplayName xmlns="http://schemas.microsoft.com/sharepoint/v3">Załącznik 1.7 do SWZ - cz.4</dmsv2BaseDisplayName>
    <dmsv2SWPP2ObjectNumber xmlns="http://schemas.microsoft.com/sharepoint/v3">POST/DYS/OLD/GZ/01266/2025                        </dmsv2SWPP2ObjectNumber>
    <dmsv2SWPP2SumMD5 xmlns="http://schemas.microsoft.com/sharepoint/v3">86c0068b12d8f979a7760a91647a9caa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22107998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MUFVPD5EPY3P-699274413-2634</_dlc_DocId>
    <_dlc_DocIdUrl xmlns="a19cb1c7-c5c7-46d4-85ae-d83685407bba">
      <Url>https://swpp2.dms.gkpge.pl/sites/36/_layouts/15/DocIdRedir.aspx?ID=MUFVPD5EPY3P-699274413-2634</Url>
      <Description>MUFVPD5EPY3P-699274413-2634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230C-AAA5-4630-A52A-281512C4CC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F53E17D-0111-4F91-AA27-0C7A4813D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6FBF2-3738-4046-A939-2F3915C3F0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1915171-852B-4300-BAB1-AC2A3C7CDEC9}"/>
</file>

<file path=customXml/itemProps5.xml><?xml version="1.0" encoding="utf-8"?>
<ds:datastoreItem xmlns:ds="http://schemas.openxmlformats.org/officeDocument/2006/customXml" ds:itemID="{97D4FFAA-BFE8-486F-AD1B-C17B2CFC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2041</Words>
  <Characters>12251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71</cp:revision>
  <cp:lastPrinted>2021-09-22T09:55:00Z</cp:lastPrinted>
  <dcterms:created xsi:type="dcterms:W3CDTF">2018-01-22T07:15:00Z</dcterms:created>
  <dcterms:modified xsi:type="dcterms:W3CDTF">2025-04-04T11:23:00Z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9c7756fc-f354-48f6-8604-8c48fdc5cb6f</vt:lpwstr>
  </property>
</Properties>
</file>