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584D01" w:rsidP="00D41BF7">
      <w:r>
        <w:rPr>
          <w:rFonts w:ascii="Calibri" w:hAnsi="Calibri"/>
          <w:b/>
          <w:sz w:val="22"/>
          <w:szCs w:val="22"/>
          <w:u w:val="single"/>
        </w:rPr>
        <w:t xml:space="preserve">2.1 </w:t>
      </w:r>
      <w:r w:rsidR="00121410"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4945D8" w:rsidRPr="004945D8" w:rsidRDefault="00CB3EA5" w:rsidP="004945D8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budowa l</w:t>
      </w:r>
      <w:r w:rsidR="004945D8">
        <w:rPr>
          <w:rFonts w:asciiTheme="minorHAnsi" w:hAnsiTheme="minorHAnsi" w:cstheme="minorHAnsi"/>
          <w:b w:val="0"/>
          <w:sz w:val="22"/>
          <w:szCs w:val="24"/>
          <w:lang w:val="pl-PL"/>
        </w:rPr>
        <w:t>inii kablowej SN 3xXRUHAKXS 1x12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0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/50 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mm</w:t>
      </w:r>
      <w:r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>2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–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długość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</w:t>
      </w:r>
      <w:r w:rsidR="004945D8">
        <w:rPr>
          <w:rFonts w:asciiTheme="minorHAnsi" w:hAnsiTheme="minorHAnsi" w:cstheme="minorHAnsi"/>
          <w:b w:val="0"/>
          <w:sz w:val="22"/>
          <w:szCs w:val="24"/>
          <w:lang w:val="pl-PL"/>
        </w:rPr>
        <w:t>1502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m,</w:t>
      </w:r>
    </w:p>
    <w:p w:rsidR="003957CF" w:rsidRPr="004945D8" w:rsidRDefault="003957CF" w:rsidP="004945D8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montaż muf </w:t>
      </w:r>
      <w:r w:rsidR="004945D8"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>przejściowych – 2</w:t>
      </w:r>
      <w:r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kpl.,</w:t>
      </w:r>
    </w:p>
    <w:p w:rsidR="00CB3EA5" w:rsidRDefault="00CB3EA5" w:rsidP="00CB3EA5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demontaż istniejącej linii kablowej SN – 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długość</w:t>
      </w: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</w:t>
      </w:r>
      <w:r w:rsidR="004945D8">
        <w:rPr>
          <w:rFonts w:asciiTheme="minorHAnsi" w:hAnsiTheme="minorHAnsi" w:cstheme="minorHAnsi"/>
          <w:b w:val="0"/>
          <w:sz w:val="22"/>
          <w:szCs w:val="24"/>
          <w:lang w:val="pl-PL"/>
        </w:rPr>
        <w:t>1</w:t>
      </w:r>
      <w:r w:rsidR="003957CF"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0</w:t>
      </w:r>
      <w:r w:rsidR="004945D8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m,</w:t>
      </w:r>
      <w:bookmarkStart w:id="1" w:name="_GoBack"/>
      <w:bookmarkEnd w:id="1"/>
    </w:p>
    <w:p w:rsidR="004945D8" w:rsidRPr="004945D8" w:rsidRDefault="004945D8" w:rsidP="004945D8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>demontaż istniejącej linii napowietrznej SN – długość 478 m,</w:t>
      </w:r>
    </w:p>
    <w:p w:rsidR="004945D8" w:rsidRPr="004945D8" w:rsidRDefault="004945D8" w:rsidP="004945D8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4945D8">
        <w:rPr>
          <w:rFonts w:asciiTheme="minorHAnsi" w:hAnsiTheme="minorHAnsi" w:cstheme="minorHAnsi"/>
          <w:b w:val="0"/>
          <w:sz w:val="22"/>
          <w:szCs w:val="24"/>
          <w:lang w:val="pl-PL"/>
        </w:rPr>
        <w:t>demontaż – żerdzie typu Ala – 7 kpl.,</w:t>
      </w:r>
    </w:p>
    <w:p w:rsidR="00584D01" w:rsidRDefault="00584D01" w:rsidP="00584D01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2.3 Dostawa inwestorska:</w:t>
      </w:r>
    </w:p>
    <w:p w:rsidR="00584D01" w:rsidRDefault="00917804" w:rsidP="00584D01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>
        <w:rPr>
          <w:rFonts w:asciiTheme="minorHAnsi" w:hAnsiTheme="minorHAnsi" w:cstheme="minorHAnsi"/>
          <w:b w:val="0"/>
          <w:sz w:val="22"/>
          <w:szCs w:val="24"/>
          <w:lang w:val="pl-PL"/>
        </w:rPr>
        <w:t>Nie dotyczy,</w:t>
      </w:r>
    </w:p>
    <w:p w:rsidR="00584D01" w:rsidRPr="00584D01" w:rsidRDefault="00584D01" w:rsidP="00584D01">
      <w:pPr>
        <w:rPr>
          <w:rFonts w:ascii="Calibri" w:hAnsi="Calibri"/>
          <w:b/>
          <w:sz w:val="22"/>
          <w:szCs w:val="22"/>
          <w:u w:val="single"/>
        </w:rPr>
      </w:pPr>
      <w:r w:rsidRPr="00584D01">
        <w:rPr>
          <w:rFonts w:ascii="Calibri" w:hAnsi="Calibri"/>
          <w:b/>
          <w:sz w:val="22"/>
          <w:szCs w:val="22"/>
          <w:u w:val="single"/>
        </w:rPr>
        <w:t>2.2 Dodatkowe informacje:</w:t>
      </w:r>
    </w:p>
    <w:p w:rsidR="00584D01" w:rsidRDefault="00584D01" w:rsidP="004945D8">
      <w:pPr>
        <w:pStyle w:val="Nagwek1"/>
        <w:numPr>
          <w:ilvl w:val="0"/>
          <w:numId w:val="25"/>
        </w:numPr>
        <w:spacing w:before="0" w:after="0" w:line="240" w:lineRule="auto"/>
        <w:rPr>
          <w:rFonts w:asciiTheme="minorHAnsi" w:hAnsiTheme="minorHAnsi" w:cstheme="minorHAnsi"/>
          <w:b w:val="0"/>
          <w:sz w:val="22"/>
          <w:szCs w:val="24"/>
          <w:lang w:val="pl-PL"/>
        </w:rPr>
      </w:pPr>
      <w:r w:rsidRPr="00584D01">
        <w:rPr>
          <w:rFonts w:asciiTheme="minorHAnsi" w:hAnsiTheme="minorHAnsi" w:cstheme="minorHAnsi"/>
          <w:b w:val="0"/>
          <w:sz w:val="22"/>
          <w:szCs w:val="24"/>
          <w:lang w:val="pl-PL"/>
        </w:rPr>
        <w:t>Linia kablowa SN: bez kanalizacji</w:t>
      </w:r>
      <w:r w:rsidR="00917804">
        <w:rPr>
          <w:rFonts w:asciiTheme="minorHAnsi" w:hAnsiTheme="minorHAnsi" w:cstheme="minorHAnsi"/>
          <w:b w:val="0"/>
          <w:sz w:val="22"/>
          <w:szCs w:val="24"/>
          <w:lang w:val="pl-PL"/>
        </w:rPr>
        <w:t xml:space="preserve"> światłowodowej,</w:t>
      </w:r>
    </w:p>
    <w:p w:rsidR="00917804" w:rsidRPr="00917804" w:rsidRDefault="00917804" w:rsidP="0091780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4"/>
          <w:lang w:eastAsia="x-none"/>
        </w:rPr>
      </w:pPr>
      <w:r w:rsidRPr="00917804">
        <w:rPr>
          <w:rFonts w:asciiTheme="minorHAnsi" w:hAnsiTheme="minorHAnsi" w:cstheme="minorHAnsi"/>
          <w:sz w:val="22"/>
          <w:szCs w:val="24"/>
          <w:lang w:eastAsia="x-none"/>
        </w:rPr>
        <w:t>Rozdzielnice SN: nie dotyczy.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8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lastRenderedPageBreak/>
        <w:t>Zakres dokumentacji projektowej</w:t>
      </w:r>
      <w:bookmarkEnd w:id="3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4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4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5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5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Pr="00D51588" w:rsidRDefault="00AA13C3" w:rsidP="00AA13C3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>Linia kablowa SN winna być zaprojektowana z żyłą powrotną miedzianą o przekroju 25 mm</w:t>
      </w:r>
      <w:r w:rsidRPr="00D51588">
        <w:rPr>
          <w:rFonts w:asciiTheme="minorHAnsi" w:hAnsiTheme="minorHAnsi" w:cstheme="minorHAnsi"/>
          <w:sz w:val="22"/>
          <w:szCs w:val="22"/>
          <w:vertAlign w:val="superscript"/>
          <w:lang w:val="x-none" w:eastAsia="x-none"/>
        </w:rPr>
        <w:t>2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,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>w odległości do 2km od stacji.</w:t>
      </w:r>
    </w:p>
    <w:p w:rsidR="00C2698E" w:rsidRPr="00D51588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51588">
        <w:rPr>
          <w:rFonts w:asciiTheme="minorHAnsi" w:hAnsiTheme="minorHAnsi" w:cstheme="minorHAnsi"/>
          <w:sz w:val="22"/>
          <w:szCs w:val="22"/>
          <w:lang w:eastAsia="x-none"/>
        </w:rPr>
        <w:t>W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przypadku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gdy opracowanie dokumentacji projektowej obejmuje swym zakresem budowę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stacji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wnętrzowej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>SN/nN lub złącza SN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>,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D51588">
        <w:rPr>
          <w:rFonts w:asciiTheme="minorHAnsi" w:hAnsiTheme="minorHAnsi" w:cstheme="minorHAnsi"/>
          <w:sz w:val="22"/>
          <w:szCs w:val="22"/>
          <w:lang w:eastAsia="x-none"/>
        </w:rPr>
        <w:t xml:space="preserve">wówczas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wyposażenie musi być zgodne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 w:rsidRPr="00D51588">
        <w:rPr>
          <w:rFonts w:asciiTheme="minorHAnsi" w:hAnsiTheme="minorHAnsi" w:cstheme="minorHAnsi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CF2843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>Maksymalny czas wyłączeń odbiorców dla całej realiza</w:t>
      </w:r>
      <w:r w:rsidR="00CB3EA5">
        <w:rPr>
          <w:rFonts w:ascii="Calibri" w:hAnsi="Calibri"/>
          <w:bCs/>
          <w:sz w:val="22"/>
          <w:szCs w:val="22"/>
          <w:lang w:val="x-none" w:eastAsia="x-none"/>
        </w:rPr>
        <w:t>cji nie będzie trwał, łącznie w</w:t>
      </w:r>
      <w:r w:rsidR="00CB3EA5">
        <w:rPr>
          <w:rFonts w:ascii="Calibri" w:hAnsi="Calibri"/>
          <w:bCs/>
          <w:sz w:val="22"/>
          <w:szCs w:val="22"/>
          <w:lang w:eastAsia="x-none"/>
        </w:rPr>
        <w:t> </w:t>
      </w:r>
      <w:r w:rsidRPr="00112AF8">
        <w:rPr>
          <w:rFonts w:ascii="Calibri" w:hAnsi="Calibri"/>
          <w:bCs/>
          <w:sz w:val="22"/>
          <w:szCs w:val="22"/>
          <w:lang w:val="x-none" w:eastAsia="x-none"/>
        </w:rPr>
        <w:t>całym okresie wykonywania, nie dłużej niż</w:t>
      </w:r>
      <w:r w:rsidRPr="00CB3EA5">
        <w:rPr>
          <w:rFonts w:ascii="Calibri" w:hAnsi="Calibri"/>
          <w:bCs/>
          <w:sz w:val="22"/>
          <w:szCs w:val="22"/>
          <w:lang w:val="x-none" w:eastAsia="x-none"/>
        </w:rPr>
        <w:t xml:space="preserve">: </w:t>
      </w:r>
      <w:r w:rsidR="004945D8">
        <w:rPr>
          <w:rFonts w:ascii="Calibri" w:hAnsi="Calibri"/>
          <w:b/>
          <w:bCs/>
          <w:sz w:val="22"/>
          <w:szCs w:val="22"/>
          <w:lang w:eastAsia="x-none"/>
        </w:rPr>
        <w:t>10</w:t>
      </w:r>
      <w:r w:rsidRPr="00CB3EA5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3B1B69" w:rsidRPr="00CB3EA5">
        <w:rPr>
          <w:rFonts w:ascii="Calibri" w:hAnsi="Calibri"/>
          <w:b/>
          <w:bCs/>
          <w:sz w:val="22"/>
          <w:szCs w:val="22"/>
          <w:lang w:eastAsia="x-none"/>
        </w:rPr>
        <w:t>.</w:t>
      </w:r>
      <w:r w:rsidRPr="00CB3EA5">
        <w:rPr>
          <w:rFonts w:ascii="Calibri" w:hAnsi="Calibri"/>
          <w:bCs/>
          <w:sz w:val="22"/>
          <w:szCs w:val="22"/>
          <w:lang w:val="x-none" w:eastAsia="x-none"/>
        </w:rPr>
        <w:t xml:space="preserve"> </w:t>
      </w:r>
      <w:r w:rsidR="00CF2843">
        <w:rPr>
          <w:rFonts w:ascii="Calibri" w:hAnsi="Calibri"/>
          <w:bCs/>
          <w:sz w:val="22"/>
          <w:szCs w:val="22"/>
          <w:lang w:eastAsia="x-none"/>
        </w:rPr>
        <w:t>J</w:t>
      </w:r>
      <w:r w:rsidR="00CF2843" w:rsidRPr="00CF2843">
        <w:rPr>
          <w:rFonts w:ascii="Calibri" w:hAnsi="Calibri"/>
          <w:bCs/>
          <w:sz w:val="22"/>
          <w:szCs w:val="22"/>
          <w:lang w:val="x-none" w:eastAsia="x-none"/>
        </w:rPr>
        <w:t>ednorazo</w:t>
      </w:r>
      <w:r w:rsidR="00CF2843">
        <w:rPr>
          <w:rFonts w:ascii="Calibri" w:hAnsi="Calibri"/>
          <w:bCs/>
          <w:sz w:val="22"/>
          <w:szCs w:val="22"/>
          <w:lang w:val="x-none" w:eastAsia="x-none"/>
        </w:rPr>
        <w:t xml:space="preserve">wa przerwa nie może przekroczyć </w:t>
      </w:r>
      <w:r w:rsidR="004945D8">
        <w:rPr>
          <w:rFonts w:ascii="Calibri" w:hAnsi="Calibri"/>
          <w:bCs/>
          <w:sz w:val="22"/>
          <w:szCs w:val="22"/>
          <w:lang w:eastAsia="x-none"/>
        </w:rPr>
        <w:t>8</w:t>
      </w:r>
      <w:r w:rsidR="00CF2843" w:rsidRPr="00CF2843">
        <w:rPr>
          <w:rFonts w:ascii="Calibri" w:hAnsi="Calibri"/>
          <w:bCs/>
          <w:sz w:val="22"/>
          <w:szCs w:val="22"/>
          <w:lang w:val="x-none" w:eastAsia="x-none"/>
        </w:rPr>
        <w:t xml:space="preserve"> godzin.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Dla zadań związanych z przyłączaniem OZE do sieci SN, zostaje wprowadzony obowiązek </w:t>
      </w:r>
      <w:r w:rsidRPr="009C5DE8">
        <w:rPr>
          <w:rFonts w:ascii="Calibri" w:hAnsi="Calibri"/>
          <w:bCs/>
          <w:sz w:val="22"/>
          <w:szCs w:val="22"/>
          <w:lang w:eastAsia="x-none"/>
        </w:rPr>
        <w:lastRenderedPageBreak/>
        <w:t xml:space="preserve">podłączania nowych (ponownie przyłączanych) obiektów elektroenergetycznych do  sieci napowietrznej SN, obligatoryjnie w technice PPN. Podłączenie to będzie realizowane przez pracowników OŁD. </w:t>
      </w:r>
    </w:p>
    <w:p w:rsidR="0048169F" w:rsidRPr="009C5DE8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502E75" w:rsidRDefault="0048169F" w:rsidP="0048169F">
      <w:pPr>
        <w:pStyle w:val="Akapitzlist"/>
        <w:ind w:left="1080" w:firstLine="0"/>
        <w:rPr>
          <w:rFonts w:ascii="Calibri" w:hAnsi="Calibri"/>
          <w:bCs/>
          <w:sz w:val="22"/>
          <w:szCs w:val="22"/>
          <w:lang w:val="x-none" w:eastAsia="x-none"/>
        </w:rPr>
      </w:pPr>
      <w:r w:rsidRPr="00502E75">
        <w:rPr>
          <w:rFonts w:ascii="Calibri" w:hAnsi="Calibri"/>
          <w:bCs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CB3EA5" w:rsidRDefault="00CB3EA5" w:rsidP="00D51588">
      <w:pPr>
        <w:pStyle w:val="Akapitzlist"/>
        <w:ind w:left="1080" w:firstLine="0"/>
        <w:rPr>
          <w:rFonts w:ascii="Calibri" w:hAnsi="Calibri"/>
          <w:b/>
          <w:bCs/>
          <w:i/>
          <w:sz w:val="22"/>
          <w:szCs w:val="22"/>
          <w:lang w:eastAsia="x-none"/>
        </w:rPr>
      </w:pPr>
      <w:r w:rsidRPr="00CB3EA5">
        <w:rPr>
          <w:rFonts w:ascii="Calibri" w:hAnsi="Calibri"/>
          <w:b/>
          <w:bCs/>
          <w:i/>
          <w:sz w:val="22"/>
          <w:szCs w:val="22"/>
          <w:lang w:eastAsia="x-none"/>
        </w:rPr>
        <w:t>brak.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9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lastRenderedPageBreak/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0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B3EA5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>Założenia projektowe</w:t>
      </w:r>
      <w:r w:rsidR="00C82CC9" w:rsidRPr="00C82CC9">
        <w:rPr>
          <w:rFonts w:asciiTheme="minorHAnsi" w:hAnsiTheme="minorHAnsi"/>
          <w:lang w:eastAsia="x-none"/>
        </w:rPr>
        <w:t xml:space="preserve">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default" r:id="rId11"/>
      <w:footerReference w:type="default" r:id="rId12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2754">
      <w:rPr>
        <w:noProof/>
      </w:rPr>
      <w:t>5</w:t>
    </w:r>
    <w:r>
      <w:fldChar w:fldCharType="end"/>
    </w:r>
  </w:p>
  <w:p w:rsidR="001E1B00" w:rsidRDefault="001E1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54" w:rsidRDefault="000E2754" w:rsidP="000E2754">
    <w:pP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</w:pP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POST/DYS/OLD/GZ/01266/2025</w:t>
    </w:r>
    <w:r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 xml:space="preserve"> cz.1</w:t>
    </w:r>
  </w:p>
  <w:p w:rsidR="0074541C" w:rsidRPr="00C45C06" w:rsidRDefault="00C41EFA" w:rsidP="0074541C">
    <w:pPr>
      <w:pStyle w:val="Zanag2"/>
      <w:ind w:left="709"/>
      <w:rPr>
        <w:rFonts w:ascii="Calibri" w:hAnsi="Calibri" w:cs="Calibri"/>
        <w:caps w:val="0"/>
        <w:color w:val="7030A0"/>
        <w:sz w:val="24"/>
      </w:rPr>
    </w:pPr>
    <w:r w:rsidRPr="00C45C06">
      <w:rPr>
        <w:rFonts w:ascii="Calibri" w:hAnsi="Calibri" w:cs="Calibri"/>
        <w:color w:val="7030A0"/>
        <w:sz w:val="24"/>
      </w:rPr>
      <w:t>Załącznik nr 1.7 do SWZ – 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E6787E"/>
    <w:multiLevelType w:val="hybridMultilevel"/>
    <w:tmpl w:val="3992FA30"/>
    <w:lvl w:ilvl="0" w:tplc="0415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1" w15:restartNumberingAfterBreak="0">
    <w:nsid w:val="497710F6"/>
    <w:multiLevelType w:val="hybridMultilevel"/>
    <w:tmpl w:val="ABDCAF7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95E28A4"/>
    <w:multiLevelType w:val="hybridMultilevel"/>
    <w:tmpl w:val="04F43D9A"/>
    <w:lvl w:ilvl="0" w:tplc="8596567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3"/>
  </w:num>
  <w:num w:numId="2">
    <w:abstractNumId w:val="65"/>
  </w:num>
  <w:num w:numId="3">
    <w:abstractNumId w:val="69"/>
  </w:num>
  <w:num w:numId="4">
    <w:abstractNumId w:val="74"/>
  </w:num>
  <w:num w:numId="5">
    <w:abstractNumId w:val="63"/>
  </w:num>
  <w:num w:numId="6">
    <w:abstractNumId w:val="71"/>
  </w:num>
  <w:num w:numId="7">
    <w:abstractNumId w:val="79"/>
  </w:num>
  <w:num w:numId="8">
    <w:abstractNumId w:val="77"/>
  </w:num>
  <w:num w:numId="9">
    <w:abstractNumId w:val="76"/>
  </w:num>
  <w:num w:numId="10">
    <w:abstractNumId w:val="53"/>
  </w:num>
  <w:num w:numId="11">
    <w:abstractNumId w:val="54"/>
  </w:num>
  <w:num w:numId="12">
    <w:abstractNumId w:val="72"/>
  </w:num>
  <w:num w:numId="13">
    <w:abstractNumId w:val="56"/>
  </w:num>
  <w:num w:numId="14">
    <w:abstractNumId w:val="64"/>
  </w:num>
  <w:num w:numId="15">
    <w:abstractNumId w:val="59"/>
  </w:num>
  <w:num w:numId="16">
    <w:abstractNumId w:val="55"/>
  </w:num>
  <w:num w:numId="17">
    <w:abstractNumId w:val="75"/>
  </w:num>
  <w:num w:numId="18">
    <w:abstractNumId w:val="62"/>
  </w:num>
  <w:num w:numId="19">
    <w:abstractNumId w:val="66"/>
  </w:num>
  <w:num w:numId="20">
    <w:abstractNumId w:val="53"/>
    <w:lvlOverride w:ilvl="0">
      <w:startOverride w:val="1"/>
    </w:lvlOverride>
  </w:num>
  <w:num w:numId="21">
    <w:abstractNumId w:val="67"/>
  </w:num>
  <w:num w:numId="2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8"/>
  </w:num>
  <w:num w:numId="25">
    <w:abstractNumId w:val="60"/>
  </w:num>
  <w:num w:numId="26">
    <w:abstractNumId w:val="73"/>
  </w:num>
  <w:num w:numId="27">
    <w:abstractNumId w:val="57"/>
  </w:num>
  <w:num w:numId="28">
    <w:abstractNumId w:val="70"/>
  </w:num>
  <w:num w:numId="29">
    <w:abstractNumId w:val="61"/>
  </w:num>
  <w:num w:numId="30">
    <w:abstractNumId w:val="73"/>
  </w:num>
  <w:num w:numId="31">
    <w:abstractNumId w:val="73"/>
  </w:num>
  <w:num w:numId="32">
    <w:abstractNumId w:val="73"/>
  </w:num>
  <w:num w:numId="33">
    <w:abstractNumId w:val="73"/>
  </w:num>
  <w:num w:numId="34">
    <w:abstractNumId w:val="73"/>
  </w:num>
  <w:num w:numId="35">
    <w:abstractNumId w:val="7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2754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004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7CF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45D8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4D01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17804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5C06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B3EA5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843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1588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0C37ACE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  <w:style w:type="character" w:styleId="Pogrubienie">
    <w:name w:val="Strong"/>
    <w:basedOn w:val="Domylnaczcionkaakapitu"/>
    <w:uiPriority w:val="22"/>
    <w:qFormat/>
    <w:rsid w:val="000E27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edystrybucja.pl/strefa-klienta/przydatne-dokumenty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pgedystrybucja.pl/strefa-klienta/przydatne-dokume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edystrybucja.pl/strefa-klienta/przydatne-dokument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1.7 do SWZ - cz.1.docx</dmsv2BaseFileName>
    <dmsv2BaseDisplayName xmlns="http://schemas.microsoft.com/sharepoint/v3">Załącznik 1.7 do SWZ - cz.1</dmsv2BaseDisplayName>
    <dmsv2SWPP2ObjectNumber xmlns="http://schemas.microsoft.com/sharepoint/v3">POST/DYS/OLD/GZ/01266/2025                        </dmsv2SWPP2ObjectNumber>
    <dmsv2SWPP2SumMD5 xmlns="http://schemas.microsoft.com/sharepoint/v3">c8af0bb9a6b7bb5e34160dde64243e80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22107995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MUFVPD5EPY3P-699274413-2629</_dlc_DocId>
    <_dlc_DocIdUrl xmlns="a19cb1c7-c5c7-46d4-85ae-d83685407bba">
      <Url>https://swpp2.dms.gkpge.pl/sites/36/_layouts/15/DocIdRedir.aspx?ID=MUFVPD5EPY3P-699274413-2629</Url>
      <Description>MUFVPD5EPY3P-699274413-2629</Description>
    </_dlc_DocIdUrl>
  </documentManagement>
</p:properties>
</file>

<file path=customXml/itemProps1.xml><?xml version="1.0" encoding="utf-8"?>
<ds:datastoreItem xmlns:ds="http://schemas.openxmlformats.org/officeDocument/2006/customXml" ds:itemID="{DB00DA78-3F2E-48E5-AEC7-2B3084419A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097E4A-43A5-4537-B4D4-3D58DC153E18}"/>
</file>

<file path=customXml/itemProps3.xml><?xml version="1.0" encoding="utf-8"?>
<ds:datastoreItem xmlns:ds="http://schemas.openxmlformats.org/officeDocument/2006/customXml" ds:itemID="{AFCEA6C6-DDDF-4DA5-A614-13C981892C75}"/>
</file>

<file path=customXml/itemProps4.xml><?xml version="1.0" encoding="utf-8"?>
<ds:datastoreItem xmlns:ds="http://schemas.openxmlformats.org/officeDocument/2006/customXml" ds:itemID="{D5D6EB8E-71F9-4B7B-9588-BF7983F5033C}"/>
</file>

<file path=customXml/itemProps5.xml><?xml version="1.0" encoding="utf-8"?>
<ds:datastoreItem xmlns:ds="http://schemas.openxmlformats.org/officeDocument/2006/customXml" ds:itemID="{5D03C58B-94E7-4047-91BF-56C9A6687E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2009</Words>
  <Characters>12057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77</cp:revision>
  <cp:lastPrinted>2021-09-22T09:55:00Z</cp:lastPrinted>
  <dcterms:created xsi:type="dcterms:W3CDTF">2018-01-22T07:15:00Z</dcterms:created>
  <dcterms:modified xsi:type="dcterms:W3CDTF">2025-04-04T11:10:00Z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ed1a3f18-9fe8-4fac-996b-f953f0aea969</vt:lpwstr>
  </property>
</Properties>
</file>