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BD6C41A72A57941944C3D24F58BBF6B" ma:contentTypeVersion="0" ma:contentTypeDescription="SWPP2 Dokument bazowy" ma:contentTypeScope="" ma:versionID="b8263f7164a82ad8948b7d921193f5e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POST/DYS/OLD/GZ/01264/2025                        </dmsv2SWPP2ObjectNumber>
    <dmsv2SWPP2SumMD5 xmlns="http://schemas.microsoft.com/sharepoint/v3">b8bbbe20eab9d33a63344cab0657aae7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676314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22108335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MUFVPD5EPY3P-699274413-3115</_dlc_DocId>
    <_dlc_DocIdUrl xmlns="a19cb1c7-c5c7-46d4-85ae-d83685407bba">
      <Url>https://swpp2.dms.gkpge.pl/sites/36/_layouts/15/DocIdRedir.aspx?ID=MUFVPD5EPY3P-699274413-3115</Url>
      <Description>MUFVPD5EPY3P-699274413-3115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628A62-F31B-4C85-BA15-E70C4206C20F}"/>
</file>

<file path=customXml/itemProps3.xml><?xml version="1.0" encoding="utf-8"?>
<ds:datastoreItem xmlns:ds="http://schemas.openxmlformats.org/officeDocument/2006/customXml" ds:itemID="{66320441-A00D-4E38-8F91-F13D77ADA396}"/>
</file>

<file path=customXml/itemProps4.xml><?xml version="1.0" encoding="utf-8"?>
<ds:datastoreItem xmlns:ds="http://schemas.openxmlformats.org/officeDocument/2006/customXml" ds:itemID="{AF3A9BE0-CCCF-4DEF-9BDD-364E88178509}"/>
</file>

<file path=customXml/itemProps5.xml><?xml version="1.0" encoding="utf-8"?>
<ds:datastoreItem xmlns:ds="http://schemas.openxmlformats.org/officeDocument/2006/customXml" ds:itemID="{AAFADA69-19AA-4C9B-BAF5-6AAFECD54A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0x0101891000DBD6C41A72A57941944C3D24F58BBF6B</vt:lpwstr>
  </property>
  <property fmtid="{D5CDD505-2E9C-101B-9397-08002B2CF9AE}" pid="3" name="_dlc_DocIdItemGuid">
    <vt:lpwstr>a239df41-f9a4-4f99-8559-3532b3564fad</vt:lpwstr>
  </property>
</Properties>
</file>