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6E7BAD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45087B"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45087B"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45087B"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bookmarkStart w:id="5" w:name="_GoBack"/>
      <w:bookmarkEnd w:id="5"/>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lastRenderedPageBreak/>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lastRenderedPageBreak/>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(t.j. Dz.U. 2024, poz. 1061</w:t>
      </w:r>
      <w:r w:rsidR="005237D1" w:rsidRPr="005237D1">
        <w:rPr>
          <w:rFonts w:ascii="Arial" w:hAnsi="Arial" w:cs="Arial"/>
          <w:color w:val="000000"/>
          <w:sz w:val="19"/>
          <w:szCs w:val="19"/>
        </w:rPr>
        <w:t>, z późn.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7"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8"/>
          <w:footerReference w:type="default" r:id="rId19"/>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4B7209D0" w:rsidR="00F24B96" w:rsidRDefault="00F24B96" w:rsidP="009F5A4C">
        <w:pPr>
          <w:pStyle w:val="Stopka"/>
          <w:jc w:val="right"/>
        </w:pPr>
        <w:r>
          <w:fldChar w:fldCharType="begin"/>
        </w:r>
        <w:r>
          <w:instrText>PAGE   \* MERGEFORMAT</w:instrText>
        </w:r>
        <w:r>
          <w:fldChar w:fldCharType="separate"/>
        </w:r>
        <w:r w:rsidR="0045087B">
          <w:rPr>
            <w:noProof/>
          </w:rPr>
          <w:t>4</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427A57A1" w:rsidR="00F24B96" w:rsidRDefault="00F24B96">
        <w:pPr>
          <w:pStyle w:val="Stopka"/>
          <w:jc w:val="center"/>
        </w:pPr>
        <w:r>
          <w:fldChar w:fldCharType="begin"/>
        </w:r>
        <w:r>
          <w:instrText>PAGE   \* MERGEFORMAT</w:instrText>
        </w:r>
        <w:r>
          <w:fldChar w:fldCharType="separate"/>
        </w:r>
        <w:r w:rsidR="0045087B">
          <w:rPr>
            <w:noProof/>
          </w:rPr>
          <w:t>14</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F24B96" w:rsidRPr="00312334" w:rsidRDefault="00F24B96"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Z2 wzór umowy na RB i OWU.docx</dmsv2BaseFileName>
    <dmsv2BaseDisplayName xmlns="http://schemas.microsoft.com/sharepoint/v3">Załącznik nr 5 do SWZ - Z2 wzór umowy na RB i OWU</dmsv2BaseDisplayName>
    <dmsv2SWPP2ObjectNumber xmlns="http://schemas.microsoft.com/sharepoint/v3">POST/DYS/OLD/GZ/01262/2025                        </dmsv2SWPP2ObjectNumber>
    <dmsv2SWPP2SumMD5 xmlns="http://schemas.microsoft.com/sharepoint/v3">2cc9cecc1209dad928a568f95da7a1db</dmsv2SWPP2SumMD5>
    <dmsv2BaseMoved xmlns="http://schemas.microsoft.com/sharepoint/v3">false</dmsv2BaseMoved>
    <dmsv2BaseIsSensitive xmlns="http://schemas.microsoft.com/sharepoint/v3">true</dmsv2BaseIsSensitive>
    <dmsv2SWPP2IDSWPP2 xmlns="http://schemas.microsoft.com/sharepoint/v3">676312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22109187</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MUFVPD5EPY3P-699274413-3543</_dlc_DocId>
    <_dlc_DocIdUrl xmlns="a19cb1c7-c5c7-46d4-85ae-d83685407bba">
      <Url>https://swpp2.dms.gkpge.pl/sites/36/_layouts/15/DocIdRedir.aspx?ID=MUFVPD5EPY3P-699274413-3543</Url>
      <Description>MUFVPD5EPY3P-699274413-3543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3C4D5716-059D-4806-9CF7-17DBF481F7EF}"/>
</file>

<file path=customXml/itemProps4.xml><?xml version="1.0" encoding="utf-8"?>
<ds:datastoreItem xmlns:ds="http://schemas.openxmlformats.org/officeDocument/2006/customXml" ds:itemID="{D1EBD7C3-C78A-4640-9898-B67A784219DF}">
  <ds:schemaRefs>
    <ds:schemaRef ds:uri="http://schemas.openxmlformats.org/officeDocument/2006/bibliography"/>
  </ds:schemaRefs>
</ds:datastoreItem>
</file>

<file path=customXml/itemProps5.xml><?xml version="1.0" encoding="utf-8"?>
<ds:datastoreItem xmlns:ds="http://schemas.openxmlformats.org/officeDocument/2006/customXml" ds:itemID="{2B56A9E7-E737-4B92-8127-D79328F912DE}"/>
</file>

<file path=docProps/app.xml><?xml version="1.0" encoding="utf-8"?>
<Properties xmlns="http://schemas.openxmlformats.org/officeDocument/2006/extended-properties" xmlns:vt="http://schemas.openxmlformats.org/officeDocument/2006/docPropsVTypes">
  <Template>Normal</Template>
  <TotalTime>10</TotalTime>
  <Pages>22</Pages>
  <Words>18108</Words>
  <Characters>108651</Characters>
  <Application>Microsoft Office Word</Application>
  <DocSecurity>0</DocSecurity>
  <Lines>905</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126506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2024-09-05T05:52:00Z</cp:lastPrinted>
  <dcterms:created xsi:type="dcterms:W3CDTF">2024-09-23T07:03:00Z</dcterms:created>
  <dcterms:modified xsi:type="dcterms:W3CDTF">2024-09-24T18:03:00Z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ocset_NoMedatataSyncRequired">
    <vt:lpwstr>False</vt:lpwstr>
  </property>
  <property fmtid="{D5CDD505-2E9C-101B-9397-08002B2CF9AE}" pid="4" name="_dlc_DocIdItemGuid">
    <vt:lpwstr>ba099545-279e-41c7-9e0b-c0619374cfeb</vt:lpwstr>
  </property>
</Properties>
</file>