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8B0F135"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CE161E">
        <w:rPr>
          <w:rFonts w:cstheme="minorHAnsi"/>
          <w:color w:val="00B050"/>
          <w:sz w:val="20"/>
          <w:szCs w:val="20"/>
        </w:rPr>
        <w:t xml:space="preserve"> dla </w:t>
      </w:r>
      <w:r w:rsidR="00CE161E" w:rsidRPr="00CE161E">
        <w:rPr>
          <w:rFonts w:cstheme="minorHAnsi"/>
          <w:color w:val="C00000"/>
          <w:sz w:val="20"/>
          <w:szCs w:val="20"/>
        </w:rPr>
        <w:t>części 1</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E53AC5"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E53AC5"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E53AC5">
        <w:rPr>
          <w:rFonts w:asciiTheme="minorHAnsi" w:hAnsiTheme="minorHAnsi" w:cstheme="minorHAnsi"/>
          <w:b/>
          <w:sz w:val="20"/>
        </w:rPr>
        <w:t>Określenie przedmiotu za</w:t>
      </w:r>
      <w:r w:rsidR="008356FF" w:rsidRPr="00E53AC5">
        <w:rPr>
          <w:rFonts w:asciiTheme="minorHAnsi" w:hAnsiTheme="minorHAnsi" w:cstheme="minorHAnsi"/>
          <w:b/>
          <w:sz w:val="20"/>
        </w:rPr>
        <w:t>mówienia</w:t>
      </w:r>
      <w:bookmarkStart w:id="2" w:name="_GoBack"/>
      <w:bookmarkEnd w:id="2"/>
    </w:p>
    <w:p w14:paraId="60243594" w14:textId="77777777" w:rsidR="00B447E2" w:rsidRPr="00E53AC5"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E53AC5">
        <w:rPr>
          <w:rFonts w:asciiTheme="minorHAnsi" w:hAnsiTheme="minorHAnsi" w:cstheme="minorHAnsi"/>
          <w:sz w:val="20"/>
        </w:rPr>
        <w:t>Przedmiotem postępowania zakupowego j</w:t>
      </w:r>
      <w:r w:rsidR="00821178" w:rsidRPr="00E53AC5">
        <w:rPr>
          <w:rFonts w:asciiTheme="minorHAnsi" w:hAnsiTheme="minorHAnsi" w:cstheme="minorHAnsi"/>
          <w:sz w:val="20"/>
        </w:rPr>
        <w:t>est wykonanie robót budowlanych</w:t>
      </w:r>
      <w:r w:rsidRPr="00E53AC5">
        <w:rPr>
          <w:rFonts w:asciiTheme="minorHAnsi" w:hAnsiTheme="minorHAnsi" w:cstheme="minorHAnsi"/>
          <w:sz w:val="20"/>
        </w:rPr>
        <w:t xml:space="preserve"> </w:t>
      </w:r>
      <w:r w:rsidR="003B3CF4" w:rsidRPr="00E53AC5">
        <w:rPr>
          <w:rFonts w:asciiTheme="minorHAnsi" w:hAnsiTheme="minorHAnsi" w:cstheme="minorHAnsi"/>
          <w:sz w:val="20"/>
        </w:rPr>
        <w:t>w branży elektroenergetycznej pn.</w:t>
      </w:r>
    </w:p>
    <w:p w14:paraId="19A23E08" w14:textId="2D639483" w:rsidR="00775685" w:rsidRPr="009402CC" w:rsidRDefault="00775685" w:rsidP="00915492">
      <w:pPr>
        <w:spacing w:before="120" w:line="276" w:lineRule="auto"/>
        <w:jc w:val="center"/>
        <w:outlineLvl w:val="0"/>
        <w:rPr>
          <w:rFonts w:asciiTheme="minorHAnsi" w:hAnsiTheme="minorHAnsi" w:cs="Arial"/>
          <w:b/>
          <w:sz w:val="24"/>
          <w:szCs w:val="24"/>
        </w:rPr>
      </w:pPr>
      <w:r w:rsidRPr="009402CC">
        <w:rPr>
          <w:rFonts w:asciiTheme="minorHAnsi" w:hAnsiTheme="minorHAnsi" w:cs="Arial"/>
          <w:b/>
          <w:sz w:val="24"/>
          <w:szCs w:val="24"/>
        </w:rPr>
        <w:t>„</w:t>
      </w:r>
      <w:r w:rsidR="005E702E" w:rsidRPr="009402CC">
        <w:rPr>
          <w:rFonts w:asciiTheme="minorHAnsi" w:hAnsiTheme="minorHAnsi" w:cs="Arial"/>
          <w:b/>
          <w:sz w:val="24"/>
          <w:szCs w:val="24"/>
        </w:rPr>
        <w:t xml:space="preserve">Budowa linii kablowej SN relacji: st. 20586 ul. Koncertowa 2A - st. 21096 </w:t>
      </w:r>
      <w:r w:rsidR="009402CC">
        <w:rPr>
          <w:rFonts w:asciiTheme="minorHAnsi" w:hAnsiTheme="minorHAnsi" w:cs="Arial"/>
          <w:b/>
          <w:sz w:val="24"/>
          <w:szCs w:val="24"/>
        </w:rPr>
        <w:br/>
      </w:r>
      <w:r w:rsidR="005E702E" w:rsidRPr="009402CC">
        <w:rPr>
          <w:rFonts w:asciiTheme="minorHAnsi" w:hAnsiTheme="minorHAnsi" w:cs="Arial"/>
          <w:b/>
          <w:sz w:val="24"/>
          <w:szCs w:val="24"/>
        </w:rPr>
        <w:t>ul. Białostocka 27A</w:t>
      </w:r>
      <w:r w:rsidR="00934012" w:rsidRPr="009402CC">
        <w:rPr>
          <w:rFonts w:asciiTheme="minorHAnsi" w:hAnsiTheme="minorHAnsi" w:cs="Arial"/>
          <w:b/>
          <w:sz w:val="24"/>
          <w:szCs w:val="24"/>
        </w:rPr>
        <w:t>”</w:t>
      </w:r>
    </w:p>
    <w:p w14:paraId="31796C56" w14:textId="77777777" w:rsidR="00962D1D" w:rsidRDefault="00962D1D" w:rsidP="00962D1D">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określa dokumentacja projektowa oraz załącznik nr 1 do SWZ.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A688E60" w14:textId="77777777" w:rsidR="00C64487" w:rsidRPr="00826267" w:rsidRDefault="00C64487" w:rsidP="00C64487">
      <w:pPr>
        <w:pStyle w:val="Akapitzlist"/>
        <w:numPr>
          <w:ilvl w:val="1"/>
          <w:numId w:val="2"/>
        </w:numPr>
        <w:rPr>
          <w:rFonts w:asciiTheme="minorHAnsi" w:hAnsiTheme="minorHAnsi" w:cstheme="minorHAnsi"/>
          <w:sz w:val="20"/>
        </w:rPr>
      </w:pPr>
      <w:r w:rsidRPr="00826267">
        <w:rPr>
          <w:rFonts w:asciiTheme="minorHAnsi" w:hAnsiTheme="minorHAnsi" w:cstheme="minorHAnsi"/>
          <w:sz w:val="20"/>
        </w:rPr>
        <w:t>Opis zadania.</w:t>
      </w:r>
    </w:p>
    <w:p w14:paraId="282AC514" w14:textId="77777777" w:rsidR="00C64487" w:rsidRPr="00826267" w:rsidRDefault="00C64487" w:rsidP="00C64487">
      <w:pPr>
        <w:pStyle w:val="Akapitzlist"/>
        <w:ind w:left="360"/>
        <w:rPr>
          <w:rFonts w:asciiTheme="minorHAnsi" w:hAnsiTheme="minorHAnsi" w:cstheme="minorHAnsi"/>
          <w:sz w:val="20"/>
        </w:rPr>
      </w:pPr>
      <w:r w:rsidRPr="00826267">
        <w:rPr>
          <w:rFonts w:asciiTheme="minorHAnsi" w:hAnsiTheme="minorHAnsi" w:cstheme="minorHAnsi"/>
          <w:sz w:val="20"/>
        </w:rPr>
        <w:t>Realizacja robót budowlanych w zakresie:</w:t>
      </w:r>
    </w:p>
    <w:p w14:paraId="06CCFBC3" w14:textId="27BB0DC7" w:rsidR="00915492" w:rsidRDefault="00915492" w:rsidP="00915492">
      <w:pPr>
        <w:pStyle w:val="Akapitzlist"/>
        <w:numPr>
          <w:ilvl w:val="0"/>
          <w:numId w:val="18"/>
        </w:numPr>
        <w:rPr>
          <w:rFonts w:asciiTheme="minorHAnsi" w:hAnsiTheme="minorHAnsi" w:cstheme="minorHAnsi"/>
          <w:sz w:val="20"/>
        </w:rPr>
      </w:pPr>
      <w:r w:rsidRPr="00826267">
        <w:rPr>
          <w:rFonts w:asciiTheme="minorHAnsi" w:hAnsiTheme="minorHAnsi" w:cstheme="minorHAnsi"/>
          <w:sz w:val="20"/>
        </w:rPr>
        <w:t>Linia kablowa SN typu 3 x XRUHAKXS 1x240/50 mm</w:t>
      </w:r>
      <w:r w:rsidRPr="00826267">
        <w:rPr>
          <w:rFonts w:asciiTheme="minorHAnsi" w:hAnsiTheme="minorHAnsi" w:cstheme="minorHAnsi"/>
          <w:sz w:val="20"/>
          <w:vertAlign w:val="superscript"/>
        </w:rPr>
        <w:t>2</w:t>
      </w:r>
      <w:r w:rsidR="00420AD4" w:rsidRPr="00826267">
        <w:rPr>
          <w:rFonts w:asciiTheme="minorHAnsi" w:hAnsiTheme="minorHAnsi" w:cstheme="minorHAnsi"/>
          <w:sz w:val="20"/>
        </w:rPr>
        <w:t xml:space="preserve"> – </w:t>
      </w:r>
      <w:r w:rsidR="00C47B9D">
        <w:rPr>
          <w:rFonts w:asciiTheme="minorHAnsi" w:hAnsiTheme="minorHAnsi" w:cstheme="minorHAnsi"/>
          <w:sz w:val="20"/>
        </w:rPr>
        <w:t>735</w:t>
      </w:r>
      <w:r w:rsidR="00420AD4" w:rsidRPr="00826267">
        <w:rPr>
          <w:rFonts w:asciiTheme="minorHAnsi" w:hAnsiTheme="minorHAnsi" w:cstheme="minorHAnsi"/>
          <w:sz w:val="20"/>
        </w:rPr>
        <w:t xml:space="preserve"> m</w:t>
      </w:r>
    </w:p>
    <w:p w14:paraId="5BD1CA1E" w14:textId="48BA3797" w:rsidR="00826267" w:rsidRPr="00826267" w:rsidRDefault="009402CC" w:rsidP="00915492">
      <w:pPr>
        <w:pStyle w:val="Akapitzlist"/>
        <w:numPr>
          <w:ilvl w:val="0"/>
          <w:numId w:val="18"/>
        </w:numPr>
        <w:rPr>
          <w:rFonts w:asciiTheme="minorHAnsi" w:hAnsiTheme="minorHAnsi" w:cstheme="minorHAnsi"/>
          <w:sz w:val="20"/>
        </w:rPr>
      </w:pPr>
      <w:r>
        <w:rPr>
          <w:rFonts w:asciiTheme="minorHAnsi" w:hAnsiTheme="minorHAnsi" w:cstheme="minorHAnsi"/>
          <w:sz w:val="20"/>
        </w:rPr>
        <w:t>Głowice kablowe POLT-24D/1XI</w:t>
      </w:r>
    </w:p>
    <w:p w14:paraId="1FC5A87F" w14:textId="77C39D94" w:rsidR="000E5DD2" w:rsidRPr="00826267" w:rsidRDefault="009402CC" w:rsidP="000E5DD2">
      <w:pPr>
        <w:ind w:left="708"/>
        <w:rPr>
          <w:rFonts w:asciiTheme="minorHAnsi" w:hAnsiTheme="minorHAnsi" w:cstheme="minorHAnsi"/>
          <w:sz w:val="20"/>
        </w:rPr>
      </w:pPr>
      <w:r>
        <w:rPr>
          <w:rFonts w:asciiTheme="minorHAnsi" w:hAnsiTheme="minorHAnsi" w:cstheme="minorHAnsi"/>
          <w:sz w:val="20"/>
        </w:rPr>
        <w:t>Demontaż</w:t>
      </w:r>
      <w:r w:rsidR="000E5DD2" w:rsidRPr="00826267">
        <w:rPr>
          <w:rFonts w:asciiTheme="minorHAnsi" w:hAnsiTheme="minorHAnsi" w:cstheme="minorHAnsi"/>
          <w:sz w:val="20"/>
        </w:rPr>
        <w:t xml:space="preserve">: </w:t>
      </w:r>
    </w:p>
    <w:p w14:paraId="22B2EA9D" w14:textId="64EEA8FF" w:rsidR="000E5DD2" w:rsidRPr="009402CC" w:rsidRDefault="009402CC" w:rsidP="009402CC">
      <w:pPr>
        <w:pStyle w:val="Akapitzlist"/>
        <w:numPr>
          <w:ilvl w:val="0"/>
          <w:numId w:val="32"/>
        </w:numPr>
        <w:rPr>
          <w:rFonts w:asciiTheme="minorHAnsi" w:hAnsiTheme="minorHAnsi" w:cstheme="minorHAnsi"/>
          <w:sz w:val="20"/>
        </w:rPr>
      </w:pPr>
      <w:r>
        <w:rPr>
          <w:rFonts w:asciiTheme="minorHAnsi" w:hAnsiTheme="minorHAnsi" w:cstheme="minorHAnsi"/>
          <w:sz w:val="20"/>
        </w:rPr>
        <w:t xml:space="preserve">Linia kablowa SN 6 </w:t>
      </w:r>
      <w:proofErr w:type="spellStart"/>
      <w:r>
        <w:rPr>
          <w:rFonts w:asciiTheme="minorHAnsi" w:hAnsiTheme="minorHAnsi" w:cstheme="minorHAnsi"/>
          <w:sz w:val="20"/>
        </w:rPr>
        <w:t>kV</w:t>
      </w:r>
      <w:proofErr w:type="spellEnd"/>
      <w:r>
        <w:rPr>
          <w:rFonts w:asciiTheme="minorHAnsi" w:hAnsiTheme="minorHAnsi" w:cstheme="minorHAnsi"/>
          <w:sz w:val="20"/>
        </w:rPr>
        <w:t xml:space="preserve"> – 10 m</w:t>
      </w:r>
    </w:p>
    <w:p w14:paraId="181B694E" w14:textId="4E0918B9" w:rsidR="00C64487" w:rsidRPr="00826267" w:rsidRDefault="00C64487" w:rsidP="00C64487">
      <w:pPr>
        <w:pStyle w:val="Akapitzlist"/>
        <w:numPr>
          <w:ilvl w:val="1"/>
          <w:numId w:val="2"/>
        </w:numPr>
        <w:ind w:left="426" w:hanging="426"/>
        <w:rPr>
          <w:rFonts w:asciiTheme="minorHAnsi" w:hAnsiTheme="minorHAnsi" w:cstheme="minorHAnsi"/>
          <w:sz w:val="20"/>
        </w:rPr>
      </w:pPr>
      <w:r w:rsidRPr="00826267">
        <w:rPr>
          <w:rFonts w:asciiTheme="minorHAnsi" w:hAnsiTheme="minorHAnsi" w:cstheme="minorHAnsi"/>
          <w:sz w:val="20"/>
        </w:rPr>
        <w:t>Dostawa inwestorska:</w:t>
      </w:r>
    </w:p>
    <w:p w14:paraId="4E066293" w14:textId="755EE579" w:rsidR="002F7091" w:rsidRPr="00826267" w:rsidRDefault="009402CC" w:rsidP="002F7091">
      <w:pPr>
        <w:pStyle w:val="Akapitzlist"/>
        <w:numPr>
          <w:ilvl w:val="0"/>
          <w:numId w:val="23"/>
        </w:numPr>
        <w:rPr>
          <w:rFonts w:asciiTheme="minorHAnsi" w:hAnsiTheme="minorHAnsi" w:cstheme="minorHAnsi"/>
          <w:sz w:val="20"/>
        </w:rPr>
      </w:pPr>
      <w:r>
        <w:rPr>
          <w:rFonts w:asciiTheme="minorHAnsi" w:hAnsiTheme="minorHAnsi" w:cstheme="minorHAnsi"/>
          <w:sz w:val="20"/>
        </w:rPr>
        <w:t>Brak</w:t>
      </w:r>
    </w:p>
    <w:p w14:paraId="169E58E1" w14:textId="77777777" w:rsidR="00C64487" w:rsidRPr="00826267" w:rsidRDefault="00C64487" w:rsidP="00C64487">
      <w:pPr>
        <w:pStyle w:val="Akapitzlist"/>
        <w:numPr>
          <w:ilvl w:val="1"/>
          <w:numId w:val="2"/>
        </w:numPr>
        <w:rPr>
          <w:rFonts w:asciiTheme="minorHAnsi" w:hAnsiTheme="minorHAnsi" w:cstheme="minorHAnsi"/>
          <w:sz w:val="20"/>
        </w:rPr>
      </w:pPr>
      <w:r w:rsidRPr="00826267">
        <w:rPr>
          <w:rFonts w:asciiTheme="minorHAnsi" w:hAnsiTheme="minorHAnsi" w:cstheme="minorHAnsi"/>
          <w:sz w:val="20"/>
        </w:rPr>
        <w:t>Dodatkowe informacje:</w:t>
      </w:r>
    </w:p>
    <w:p w14:paraId="4E71960A" w14:textId="6C3E4E62" w:rsidR="00826267" w:rsidRDefault="00826267" w:rsidP="00826267">
      <w:pPr>
        <w:pStyle w:val="Akapitzlist"/>
        <w:numPr>
          <w:ilvl w:val="0"/>
          <w:numId w:val="23"/>
        </w:numPr>
        <w:rPr>
          <w:rFonts w:asciiTheme="minorHAnsi" w:hAnsiTheme="minorHAnsi" w:cstheme="minorHAnsi"/>
          <w:sz w:val="20"/>
        </w:rPr>
      </w:pPr>
      <w:r w:rsidRPr="00826267">
        <w:rPr>
          <w:rFonts w:asciiTheme="minorHAnsi" w:hAnsiTheme="minorHAnsi" w:cstheme="minorHAnsi"/>
          <w:sz w:val="20"/>
        </w:rPr>
        <w:t>Linia kablowa SN: bez k</w:t>
      </w:r>
      <w:r w:rsidR="009402CC">
        <w:rPr>
          <w:rFonts w:asciiTheme="minorHAnsi" w:hAnsiTheme="minorHAnsi" w:cstheme="minorHAnsi"/>
          <w:sz w:val="20"/>
        </w:rPr>
        <w:t>analizacji światłowodowej RHDPE</w:t>
      </w:r>
    </w:p>
    <w:p w14:paraId="054C4447" w14:textId="41D0C19C" w:rsidR="005A327E" w:rsidRPr="00826267" w:rsidRDefault="005A327E" w:rsidP="00826267">
      <w:pPr>
        <w:pStyle w:val="Akapitzlist"/>
        <w:numPr>
          <w:ilvl w:val="0"/>
          <w:numId w:val="23"/>
        </w:numPr>
        <w:rPr>
          <w:rFonts w:asciiTheme="minorHAnsi" w:hAnsiTheme="minorHAnsi" w:cstheme="minorHAnsi"/>
          <w:sz w:val="20"/>
        </w:rPr>
      </w:pPr>
      <w:r>
        <w:rPr>
          <w:rFonts w:asciiTheme="minorHAnsi" w:hAnsiTheme="minorHAnsi" w:cstheme="minorHAnsi"/>
          <w:sz w:val="20"/>
        </w:rPr>
        <w:t>Rozdzielnice SN: nie dotyczy.</w:t>
      </w:r>
    </w:p>
    <w:p w14:paraId="3A430BF1" w14:textId="3B5E297F" w:rsidR="005A7035" w:rsidRPr="00826267" w:rsidRDefault="005A7035" w:rsidP="00C03DAE">
      <w:pPr>
        <w:pStyle w:val="Akapitzlist"/>
        <w:numPr>
          <w:ilvl w:val="1"/>
          <w:numId w:val="2"/>
        </w:numPr>
        <w:spacing w:line="276" w:lineRule="auto"/>
        <w:ind w:hanging="436"/>
        <w:rPr>
          <w:rFonts w:asciiTheme="minorHAnsi" w:hAnsiTheme="minorHAnsi" w:cstheme="minorHAnsi"/>
          <w:sz w:val="20"/>
        </w:rPr>
      </w:pPr>
      <w:r w:rsidRPr="00826267">
        <w:rPr>
          <w:rFonts w:asciiTheme="minorHAnsi" w:hAnsiTheme="minorHAnsi" w:cstheme="minorHAnsi"/>
          <w:sz w:val="20"/>
        </w:rPr>
        <w:t>Do obowiązków Wykonawcy należy:</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Z</w:t>
      </w:r>
      <w:proofErr w:type="spellStart"/>
      <w:r w:rsidRPr="005F748B">
        <w:rPr>
          <w:rFonts w:asciiTheme="minorHAnsi" w:hAnsiTheme="minorHAnsi" w:cstheme="minorHAnsi"/>
          <w:sz w:val="20"/>
          <w:lang w:val="x-none"/>
        </w:rPr>
        <w:t>agospodarowa</w:t>
      </w:r>
      <w:r w:rsidRPr="005F748B">
        <w:rPr>
          <w:rFonts w:asciiTheme="minorHAnsi" w:hAnsiTheme="minorHAnsi" w:cstheme="minorHAnsi"/>
          <w:sz w:val="20"/>
        </w:rPr>
        <w:t>nie</w:t>
      </w:r>
      <w:proofErr w:type="spellEnd"/>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05964F9C" w14:textId="2A5A5637" w:rsidR="00C64487" w:rsidRPr="00C64487"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lastRenderedPageBreak/>
        <w:t xml:space="preserve">Maksymalny czas </w:t>
      </w:r>
      <w:proofErr w:type="spellStart"/>
      <w:r w:rsidRPr="00C64487">
        <w:rPr>
          <w:rFonts w:asciiTheme="minorHAnsi" w:hAnsiTheme="minorHAnsi" w:cstheme="minorHAnsi"/>
          <w:sz w:val="20"/>
        </w:rPr>
        <w:t>wyłączeń</w:t>
      </w:r>
      <w:proofErr w:type="spellEnd"/>
      <w:r w:rsidRPr="00C64487">
        <w:rPr>
          <w:rFonts w:asciiTheme="minorHAnsi" w:hAnsiTheme="minorHAnsi" w:cstheme="minorHAnsi"/>
          <w:sz w:val="20"/>
        </w:rPr>
        <w:t xml:space="preserve"> odbiorców dla całej realizacji nie będzie trwał, łącznie w całym o</w:t>
      </w:r>
      <w:r w:rsidR="00787280">
        <w:rPr>
          <w:rFonts w:asciiTheme="minorHAnsi" w:hAnsiTheme="minorHAnsi" w:cstheme="minorHAnsi"/>
          <w:sz w:val="20"/>
        </w:rPr>
        <w:t>kresie wykonywania, dłużej ni</w:t>
      </w:r>
      <w:r w:rsidR="00787280" w:rsidRPr="00A007F5">
        <w:rPr>
          <w:rFonts w:asciiTheme="minorHAnsi" w:hAnsiTheme="minorHAnsi" w:cstheme="minorHAnsi"/>
          <w:sz w:val="20"/>
        </w:rPr>
        <w:t>ż</w:t>
      </w:r>
      <w:r w:rsidR="00787280" w:rsidRPr="00FA5F04">
        <w:rPr>
          <w:rFonts w:asciiTheme="minorHAnsi" w:hAnsiTheme="minorHAnsi" w:cstheme="minorHAnsi"/>
          <w:sz w:val="20"/>
        </w:rPr>
        <w:t>:</w:t>
      </w:r>
      <w:r w:rsidR="00A007F5" w:rsidRPr="00FA5F04">
        <w:rPr>
          <w:rFonts w:asciiTheme="minorHAnsi" w:hAnsiTheme="minorHAnsi" w:cstheme="minorHAnsi"/>
          <w:sz w:val="20"/>
        </w:rPr>
        <w:t xml:space="preserve"> </w:t>
      </w:r>
      <w:r w:rsidR="005E702E">
        <w:rPr>
          <w:rFonts w:asciiTheme="minorHAnsi" w:hAnsiTheme="minorHAnsi" w:cstheme="minorHAnsi"/>
          <w:b/>
          <w:i/>
          <w:sz w:val="20"/>
        </w:rPr>
        <w:t>8</w:t>
      </w:r>
      <w:r w:rsidRPr="00FA5F04">
        <w:rPr>
          <w:rFonts w:asciiTheme="minorHAnsi" w:hAnsiTheme="minorHAnsi" w:cstheme="minorHAnsi"/>
          <w:b/>
          <w:i/>
          <w:sz w:val="20"/>
        </w:rPr>
        <w:t xml:space="preserve"> godzin</w:t>
      </w:r>
      <w:r w:rsidRPr="00FA5F04">
        <w:rPr>
          <w:rFonts w:asciiTheme="minorHAnsi" w:hAnsiTheme="minorHAnsi" w:cstheme="minorHAnsi"/>
          <w:sz w:val="20"/>
        </w:rPr>
        <w:t xml:space="preserve">. Natomiast jednorazowa przerwa nie może przekroczyć </w:t>
      </w:r>
      <w:r w:rsidR="00A007F5" w:rsidRPr="00FA5F04">
        <w:rPr>
          <w:rFonts w:asciiTheme="minorHAnsi" w:hAnsiTheme="minorHAnsi" w:cstheme="minorHAnsi"/>
          <w:b/>
          <w:i/>
          <w:sz w:val="20"/>
        </w:rPr>
        <w:t>8</w:t>
      </w:r>
      <w:r w:rsidRPr="00FA5F04">
        <w:rPr>
          <w:rFonts w:asciiTheme="minorHAnsi" w:hAnsiTheme="minorHAnsi" w:cstheme="minorHAnsi"/>
          <w:b/>
          <w:i/>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0CC10D3A" w:rsidR="00602BFB" w:rsidRPr="009402CC"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0513D4F6" w:rsidR="006C330F" w:rsidRPr="00A007F5" w:rsidRDefault="005A327E"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25 listopada 2025 r.</w:t>
      </w:r>
    </w:p>
    <w:p w14:paraId="7CBD4B5C" w14:textId="33EDBCAA" w:rsidR="00E276E2" w:rsidRPr="009402CC" w:rsidRDefault="00A473BE" w:rsidP="009402CC">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7604B36E"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Pr="00A007F5">
        <w:rPr>
          <w:rFonts w:asciiTheme="minorHAnsi" w:hAnsiTheme="minorHAnsi" w:cstheme="minorHAnsi"/>
          <w:sz w:val="20"/>
        </w:rPr>
        <w:t>:</w:t>
      </w:r>
      <w:r w:rsidR="005968EA" w:rsidRPr="00A007F5">
        <w:rPr>
          <w:rFonts w:asciiTheme="minorHAnsi" w:hAnsiTheme="minorHAnsi" w:cstheme="minorHAnsi"/>
          <w:sz w:val="20"/>
        </w:rPr>
        <w:t xml:space="preserve"> </w:t>
      </w:r>
      <w:r w:rsidR="00775685" w:rsidRPr="009402CC">
        <w:rPr>
          <w:rFonts w:asciiTheme="minorHAnsi" w:hAnsiTheme="minorHAnsi" w:cstheme="minorHAnsi"/>
          <w:b/>
          <w:sz w:val="20"/>
        </w:rPr>
        <w:t xml:space="preserve">RE </w:t>
      </w:r>
      <w:r w:rsidR="00A007F5" w:rsidRPr="009402CC">
        <w:rPr>
          <w:rFonts w:asciiTheme="minorHAnsi" w:hAnsiTheme="minorHAnsi" w:cstheme="minorHAnsi"/>
          <w:b/>
          <w:sz w:val="20"/>
        </w:rPr>
        <w:t>Łódź</w:t>
      </w:r>
      <w:r w:rsidR="00775685" w:rsidRPr="009402CC">
        <w:rPr>
          <w:rFonts w:asciiTheme="minorHAnsi" w:hAnsiTheme="minorHAnsi" w:cstheme="minorHAnsi"/>
          <w:sz w:val="20"/>
        </w:rPr>
        <w:t xml:space="preserve">,  </w:t>
      </w:r>
      <w:r w:rsidR="00775685" w:rsidRPr="009402CC">
        <w:rPr>
          <w:rFonts w:asciiTheme="minorHAnsi" w:hAnsiTheme="minorHAnsi" w:cstheme="minorHAnsi"/>
          <w:b/>
          <w:sz w:val="20"/>
        </w:rPr>
        <w:t xml:space="preserve">miejscowość </w:t>
      </w:r>
      <w:r w:rsidR="00A007F5" w:rsidRPr="009402CC">
        <w:rPr>
          <w:rFonts w:asciiTheme="minorHAnsi" w:hAnsiTheme="minorHAnsi" w:cstheme="minorHAnsi"/>
          <w:b/>
          <w:sz w:val="20"/>
        </w:rPr>
        <w:t>Łódź</w:t>
      </w:r>
      <w:r w:rsidR="00775685" w:rsidRPr="009402CC">
        <w:rPr>
          <w:rFonts w:asciiTheme="minorHAnsi" w:hAnsiTheme="minorHAnsi" w:cstheme="minorHAnsi"/>
          <w:b/>
          <w:sz w:val="20"/>
        </w:rPr>
        <w:t xml:space="preserve">, gm. </w:t>
      </w:r>
      <w:r w:rsidR="00A007F5" w:rsidRPr="009402CC">
        <w:rPr>
          <w:rFonts w:asciiTheme="minorHAnsi" w:hAnsiTheme="minorHAnsi" w:cstheme="minorHAnsi"/>
          <w:b/>
          <w:sz w:val="20"/>
        </w:rPr>
        <w:t>Łódź</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64487">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lastRenderedPageBreak/>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54534232" w14:textId="2CFC5F8B" w:rsidR="00780B0F" w:rsidRPr="00962D1D" w:rsidRDefault="009402CC" w:rsidP="00780B0F">
      <w:pPr>
        <w:pStyle w:val="Akapitzlist"/>
        <w:numPr>
          <w:ilvl w:val="0"/>
          <w:numId w:val="24"/>
        </w:numPr>
        <w:rPr>
          <w:rFonts w:asciiTheme="minorHAnsi" w:hAnsiTheme="minorHAnsi"/>
          <w:b/>
          <w:sz w:val="20"/>
          <w:lang w:eastAsia="x-none"/>
        </w:rPr>
      </w:pPr>
      <w:r>
        <w:rPr>
          <w:rFonts w:asciiTheme="minorHAnsi" w:hAnsiTheme="minorHAnsi"/>
          <w:b/>
          <w:sz w:val="20"/>
          <w:lang w:eastAsia="x-none"/>
        </w:rPr>
        <w:t>Brak dostaw Zamawiającego</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3943D86C" w14:textId="5403FD5A" w:rsidR="00A007F5" w:rsidRPr="00826267" w:rsidRDefault="00246D74" w:rsidP="00A007F5">
      <w:pPr>
        <w:pStyle w:val="Akapitzlist"/>
        <w:numPr>
          <w:ilvl w:val="1"/>
          <w:numId w:val="2"/>
        </w:numPr>
        <w:spacing w:before="120" w:line="276" w:lineRule="auto"/>
        <w:ind w:left="426" w:hanging="426"/>
        <w:outlineLvl w:val="0"/>
        <w:rPr>
          <w:rFonts w:asciiTheme="minorHAnsi" w:hAnsiTheme="minorHAnsi" w:cstheme="minorHAnsi"/>
          <w:b/>
          <w:sz w:val="20"/>
        </w:rPr>
      </w:pPr>
      <w:r w:rsidRPr="00826267">
        <w:rPr>
          <w:rFonts w:asciiTheme="minorHAnsi" w:hAnsiTheme="minorHAnsi" w:cstheme="minorHAnsi"/>
          <w:sz w:val="20"/>
        </w:rPr>
        <w:t>Wyłączenia realizacji zadań z zakresu dokumentacji projektowej</w:t>
      </w:r>
      <w:r w:rsidR="005A327E">
        <w:rPr>
          <w:rFonts w:asciiTheme="minorHAnsi" w:hAnsiTheme="minorHAnsi" w:cstheme="minorHAnsi"/>
          <w:sz w:val="20"/>
        </w:rPr>
        <w:t>:</w:t>
      </w:r>
      <w:r w:rsidR="00A007F5" w:rsidRPr="00826267">
        <w:rPr>
          <w:rFonts w:asciiTheme="minorHAnsi" w:hAnsiTheme="minorHAnsi" w:cstheme="minorHAnsi"/>
          <w:b/>
          <w:sz w:val="20"/>
        </w:rPr>
        <w:t xml:space="preserve"> </w:t>
      </w:r>
      <w:r w:rsidR="005A327E" w:rsidRPr="00BE0F5D">
        <w:rPr>
          <w:rFonts w:asciiTheme="minorHAnsi" w:hAnsiTheme="minorHAnsi" w:cstheme="minorHAnsi"/>
          <w:b/>
          <w:sz w:val="20"/>
        </w:rPr>
        <w:t>Dokumentacja projektowa</w:t>
      </w:r>
      <w:r w:rsidR="00E97F06">
        <w:rPr>
          <w:rFonts w:asciiTheme="minorHAnsi" w:hAnsiTheme="minorHAnsi" w:cstheme="minorHAnsi"/>
          <w:b/>
          <w:sz w:val="20"/>
        </w:rPr>
        <w:t xml:space="preserve"> </w:t>
      </w:r>
      <w:r w:rsidR="005A327E" w:rsidRPr="00BE0F5D">
        <w:rPr>
          <w:rFonts w:asciiTheme="minorHAnsi" w:hAnsiTheme="minorHAnsi" w:cstheme="minorHAnsi"/>
          <w:b/>
          <w:sz w:val="20"/>
        </w:rPr>
        <w:t>będzie realizowana w całości</w:t>
      </w:r>
      <w:r w:rsidR="00E97F06">
        <w:rPr>
          <w:rFonts w:asciiTheme="minorHAnsi" w:hAnsiTheme="minorHAnsi" w:cstheme="minorHAnsi"/>
          <w:b/>
          <w:sz w:val="20"/>
        </w:rPr>
        <w:t>.</w:t>
      </w:r>
    </w:p>
    <w:p w14:paraId="60C8AFCE" w14:textId="552CF871" w:rsidR="00246D74" w:rsidRPr="00A007F5" w:rsidRDefault="00246D74" w:rsidP="006F6A8B">
      <w:pPr>
        <w:pStyle w:val="Akapitzlist"/>
        <w:numPr>
          <w:ilvl w:val="1"/>
          <w:numId w:val="2"/>
        </w:numPr>
        <w:spacing w:before="120" w:line="276" w:lineRule="auto"/>
        <w:ind w:left="426" w:hanging="426"/>
        <w:outlineLvl w:val="0"/>
        <w:rPr>
          <w:rFonts w:asciiTheme="minorHAnsi" w:hAnsiTheme="minorHAnsi" w:cstheme="minorHAnsi"/>
          <w:sz w:val="20"/>
        </w:rPr>
      </w:pPr>
      <w:r w:rsidRPr="00A007F5">
        <w:rPr>
          <w:rFonts w:asciiTheme="minorHAnsi" w:hAnsiTheme="minorHAnsi" w:cstheme="minorHAnsi"/>
          <w:sz w:val="20"/>
        </w:rPr>
        <w:t>Dodatkowe wymagania dla realizacji robót budowlano - montażowych:</w:t>
      </w:r>
    </w:p>
    <w:p w14:paraId="08956B93" w14:textId="43C1F963"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4482AECE" w14:textId="6F33A070" w:rsidR="00DF482B" w:rsidRPr="009402CC" w:rsidRDefault="00DF482B" w:rsidP="00DF482B">
      <w:pPr>
        <w:pStyle w:val="Akapitzlist"/>
        <w:spacing w:before="120" w:line="276" w:lineRule="auto"/>
        <w:ind w:left="1080"/>
        <w:outlineLvl w:val="0"/>
        <w:rPr>
          <w:rFonts w:asciiTheme="minorHAnsi" w:hAnsiTheme="minorHAnsi" w:cstheme="minorHAnsi"/>
          <w:b/>
          <w:sz w:val="20"/>
        </w:rPr>
      </w:pPr>
      <w:r w:rsidRPr="009402CC">
        <w:rPr>
          <w:rFonts w:asciiTheme="minorHAnsi" w:hAnsiTheme="minorHAnsi" w:cstheme="minorHAnsi"/>
          <w:b/>
          <w:sz w:val="20"/>
        </w:rPr>
        <w:t xml:space="preserve">Stacje transformatorowe 15/0,4 </w:t>
      </w:r>
      <w:proofErr w:type="spellStart"/>
      <w:r w:rsidRPr="009402CC">
        <w:rPr>
          <w:rFonts w:asciiTheme="minorHAnsi" w:hAnsiTheme="minorHAnsi" w:cstheme="minorHAnsi"/>
          <w:b/>
          <w:sz w:val="20"/>
        </w:rPr>
        <w:t>kV</w:t>
      </w:r>
      <w:proofErr w:type="spellEnd"/>
      <w:r w:rsidRPr="009402CC">
        <w:rPr>
          <w:rFonts w:asciiTheme="minorHAnsi" w:hAnsiTheme="minorHAnsi" w:cstheme="minorHAnsi"/>
          <w:b/>
          <w:sz w:val="20"/>
        </w:rPr>
        <w:t xml:space="preserve"> wskazane przez Zamawiającego do zasilania jednostkami prądotwórczymi:</w:t>
      </w:r>
    </w:p>
    <w:p w14:paraId="1DA0040B" w14:textId="77777777" w:rsidR="005E702E" w:rsidRPr="005E702E" w:rsidRDefault="005E702E" w:rsidP="005E702E">
      <w:pPr>
        <w:pStyle w:val="Akapitzlist"/>
        <w:numPr>
          <w:ilvl w:val="0"/>
          <w:numId w:val="28"/>
        </w:numPr>
        <w:spacing w:before="120" w:line="276" w:lineRule="auto"/>
        <w:ind w:left="1985"/>
        <w:outlineLvl w:val="0"/>
        <w:rPr>
          <w:rFonts w:asciiTheme="minorHAnsi" w:hAnsiTheme="minorHAnsi" w:cstheme="minorHAnsi"/>
          <w:sz w:val="20"/>
        </w:rPr>
      </w:pPr>
      <w:r w:rsidRPr="005E702E">
        <w:rPr>
          <w:rFonts w:asciiTheme="minorHAnsi" w:hAnsiTheme="minorHAnsi" w:cstheme="minorHAnsi"/>
          <w:b/>
          <w:sz w:val="20"/>
        </w:rPr>
        <w:t>20586 Koncertowa 2A,</w:t>
      </w:r>
    </w:p>
    <w:p w14:paraId="043ACC71" w14:textId="5F8F759D" w:rsidR="005E702E" w:rsidRPr="005E702E" w:rsidRDefault="005E702E" w:rsidP="005E702E">
      <w:pPr>
        <w:pStyle w:val="Akapitzlist"/>
        <w:numPr>
          <w:ilvl w:val="0"/>
          <w:numId w:val="28"/>
        </w:numPr>
        <w:spacing w:before="120" w:line="276" w:lineRule="auto"/>
        <w:ind w:left="1985"/>
        <w:outlineLvl w:val="0"/>
        <w:rPr>
          <w:rFonts w:asciiTheme="minorHAnsi" w:hAnsiTheme="minorHAnsi" w:cstheme="minorHAnsi"/>
          <w:sz w:val="20"/>
        </w:rPr>
      </w:pPr>
      <w:r w:rsidRPr="005E702E">
        <w:rPr>
          <w:rFonts w:asciiTheme="minorHAnsi" w:hAnsiTheme="minorHAnsi" w:cstheme="minorHAnsi"/>
          <w:b/>
          <w:sz w:val="20"/>
        </w:rPr>
        <w:t>21096 Białostocka 27A.</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02F3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61E">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61E">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C6191E1" w:rsidR="002369B6" w:rsidRDefault="00032CB3"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58240" behindDoc="0" locked="0" layoutInCell="1" allowOverlap="1" wp14:anchorId="1707523F" wp14:editId="2DC6FF8D">
          <wp:simplePos x="0" y="0"/>
          <wp:positionH relativeFrom="column">
            <wp:posOffset>-288428</wp:posOffset>
          </wp:positionH>
          <wp:positionV relativeFrom="paragraph">
            <wp:posOffset>-57785</wp:posOffset>
          </wp:positionV>
          <wp:extent cx="876866" cy="681836"/>
          <wp:effectExtent l="0" t="0" r="0" b="4445"/>
          <wp:wrapNone/>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54951A46" w14:textId="2AC988EA" w:rsidR="002369B6" w:rsidRPr="00A31C7C" w:rsidRDefault="002369B6" w:rsidP="00032CB3">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CE161E" w:rsidRPr="00CE161E">
          <w:rPr>
            <w:rFonts w:asciiTheme="minorHAnsi" w:hAnsiTheme="minorHAnsi" w:cstheme="minorHAnsi"/>
            <w:sz w:val="18"/>
            <w:szCs w:val="18"/>
          </w:rPr>
          <w:t>POST/DYS/OLD/GZ/01243/2025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FB3B3A"/>
    <w:multiLevelType w:val="hybridMultilevel"/>
    <w:tmpl w:val="A2C04B4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A935D5F"/>
    <w:multiLevelType w:val="hybridMultilevel"/>
    <w:tmpl w:val="4F04B76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09F19A9"/>
    <w:multiLevelType w:val="hybridMultilevel"/>
    <w:tmpl w:val="3CEECDC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281D1E97"/>
    <w:multiLevelType w:val="hybridMultilevel"/>
    <w:tmpl w:val="A2A635DA"/>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DD139F"/>
    <w:multiLevelType w:val="multilevel"/>
    <w:tmpl w:val="6EBA4C4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7996B3B"/>
    <w:multiLevelType w:val="hybridMultilevel"/>
    <w:tmpl w:val="55CA766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843BD9"/>
    <w:multiLevelType w:val="hybridMultilevel"/>
    <w:tmpl w:val="48CE73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8AD1ED3"/>
    <w:multiLevelType w:val="multilevel"/>
    <w:tmpl w:val="9A867E9C"/>
    <w:lvl w:ilvl="0">
      <w:start w:val="1"/>
      <w:numFmt w:val="bullet"/>
      <w:lvlText w:val=""/>
      <w:lvlJc w:val="left"/>
      <w:pPr>
        <w:ind w:left="1068" w:hanging="360"/>
      </w:pPr>
      <w:rPr>
        <w:rFonts w:ascii="Wingdings" w:hAnsi="Wingdings" w:hint="default"/>
      </w:rPr>
    </w:lvl>
    <w:lvl w:ilvl="1">
      <w:start w:val="1"/>
      <w:numFmt w:val="decimal"/>
      <w:isLgl/>
      <w:lvlText w:val="%1.%2."/>
      <w:lvlJc w:val="left"/>
      <w:pPr>
        <w:ind w:left="70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4"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8" w15:restartNumberingAfterBreak="0">
    <w:nsid w:val="64527188"/>
    <w:multiLevelType w:val="hybridMultilevel"/>
    <w:tmpl w:val="F7EE2DC6"/>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5326C43"/>
    <w:multiLevelType w:val="hybridMultilevel"/>
    <w:tmpl w:val="2432F9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FA71AFD"/>
    <w:multiLevelType w:val="hybridMultilevel"/>
    <w:tmpl w:val="002847F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D7839AF"/>
    <w:multiLevelType w:val="multilevel"/>
    <w:tmpl w:val="6EBA4C4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bullet"/>
      <w:lvlText w:val=""/>
      <w:lvlJc w:val="left"/>
      <w:pPr>
        <w:ind w:left="1080" w:hanging="720"/>
      </w:pPr>
      <w:rPr>
        <w:rFonts w:ascii="Wingdings" w:hAnsi="Wingding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5"/>
  </w:num>
  <w:num w:numId="3">
    <w:abstractNumId w:val="20"/>
  </w:num>
  <w:num w:numId="4">
    <w:abstractNumId w:val="22"/>
  </w:num>
  <w:num w:numId="5">
    <w:abstractNumId w:val="29"/>
  </w:num>
  <w:num w:numId="6">
    <w:abstractNumId w:val="10"/>
  </w:num>
  <w:num w:numId="7">
    <w:abstractNumId w:val="17"/>
  </w:num>
  <w:num w:numId="8">
    <w:abstractNumId w:val="8"/>
  </w:num>
  <w:num w:numId="9">
    <w:abstractNumId w:val="33"/>
  </w:num>
  <w:num w:numId="10">
    <w:abstractNumId w:val="27"/>
  </w:num>
  <w:num w:numId="11">
    <w:abstractNumId w:val="31"/>
  </w:num>
  <w:num w:numId="12">
    <w:abstractNumId w:val="4"/>
  </w:num>
  <w:num w:numId="13">
    <w:abstractNumId w:val="16"/>
  </w:num>
  <w:num w:numId="14">
    <w:abstractNumId w:val="25"/>
  </w:num>
  <w:num w:numId="15">
    <w:abstractNumId w:val="28"/>
  </w:num>
  <w:num w:numId="16">
    <w:abstractNumId w:val="7"/>
  </w:num>
  <w:num w:numId="17">
    <w:abstractNumId w:val="26"/>
  </w:num>
  <w:num w:numId="18">
    <w:abstractNumId w:val="18"/>
  </w:num>
  <w:num w:numId="19">
    <w:abstractNumId w:val="9"/>
  </w:num>
  <w:num w:numId="20">
    <w:abstractNumId w:val="24"/>
  </w:num>
  <w:num w:numId="21">
    <w:abstractNumId w:val="23"/>
  </w:num>
  <w:num w:numId="22">
    <w:abstractNumId w:val="19"/>
  </w:num>
  <w:num w:numId="23">
    <w:abstractNumId w:val="5"/>
  </w:num>
  <w:num w:numId="24">
    <w:abstractNumId w:val="6"/>
  </w:num>
  <w:num w:numId="25">
    <w:abstractNumId w:val="3"/>
  </w:num>
  <w:num w:numId="26">
    <w:abstractNumId w:val="34"/>
  </w:num>
  <w:num w:numId="27">
    <w:abstractNumId w:val="14"/>
  </w:num>
  <w:num w:numId="28">
    <w:abstractNumId w:val="21"/>
  </w:num>
  <w:num w:numId="29">
    <w:abstractNumId w:val="12"/>
  </w:num>
  <w:num w:numId="30">
    <w:abstractNumId w:val="30"/>
  </w:num>
  <w:num w:numId="31">
    <w:abstractNumId w:val="32"/>
  </w:num>
  <w:num w:numId="3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CB3"/>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2D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5DD2"/>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4A93"/>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76E39"/>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E7931"/>
    <w:rsid w:val="002F167E"/>
    <w:rsid w:val="002F1A99"/>
    <w:rsid w:val="002F24E7"/>
    <w:rsid w:val="002F399A"/>
    <w:rsid w:val="002F3A74"/>
    <w:rsid w:val="002F3D50"/>
    <w:rsid w:val="002F401A"/>
    <w:rsid w:val="002F4ACE"/>
    <w:rsid w:val="002F7091"/>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0AD4"/>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277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27E"/>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02E"/>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0B0F"/>
    <w:rsid w:val="00782340"/>
    <w:rsid w:val="0078319C"/>
    <w:rsid w:val="00783534"/>
    <w:rsid w:val="00785158"/>
    <w:rsid w:val="00787280"/>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082"/>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26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2E8"/>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3393"/>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494"/>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492"/>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02CC"/>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2D1D"/>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49"/>
    <w:rsid w:val="009F4ED6"/>
    <w:rsid w:val="009F5A16"/>
    <w:rsid w:val="009F66C9"/>
    <w:rsid w:val="009F6CAA"/>
    <w:rsid w:val="00A0069C"/>
    <w:rsid w:val="00A007F5"/>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3DAE"/>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0B0"/>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D06"/>
    <w:rsid w:val="00B11056"/>
    <w:rsid w:val="00B12412"/>
    <w:rsid w:val="00B126F2"/>
    <w:rsid w:val="00B128B6"/>
    <w:rsid w:val="00B1308A"/>
    <w:rsid w:val="00B137F8"/>
    <w:rsid w:val="00B154E2"/>
    <w:rsid w:val="00B16FD2"/>
    <w:rsid w:val="00B1702B"/>
    <w:rsid w:val="00B20A96"/>
    <w:rsid w:val="00B22FAE"/>
    <w:rsid w:val="00B23DB2"/>
    <w:rsid w:val="00B241AF"/>
    <w:rsid w:val="00B25020"/>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204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3DF3"/>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6734"/>
    <w:rsid w:val="00C467E6"/>
    <w:rsid w:val="00C46EC5"/>
    <w:rsid w:val="00C47B9D"/>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964"/>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161E"/>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E64"/>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57D3"/>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210"/>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AC5"/>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67765"/>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97F06"/>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2885"/>
    <w:rsid w:val="00F43C4D"/>
    <w:rsid w:val="00F44330"/>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5F04"/>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39AE"/>
    <w:rsid w:val="00FD3C15"/>
    <w:rsid w:val="00FD4F98"/>
    <w:rsid w:val="00FD50AF"/>
    <w:rsid w:val="00FD53C6"/>
    <w:rsid w:val="00FD5E97"/>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1.docx</dmsv2BaseFileName>
    <dmsv2BaseDisplayName xmlns="http://schemas.microsoft.com/sharepoint/v3">Załącznik nr 1 do SWZ - OPZ dla cz. 1</dmsv2BaseDisplayName>
    <dmsv2SWPP2ObjectNumber xmlns="http://schemas.microsoft.com/sharepoint/v3">POST/DYS/OLD/GZ/01243/2025                        </dmsv2SWPP2ObjectNumber>
    <dmsv2SWPP2SumMD5 xmlns="http://schemas.microsoft.com/sharepoint/v3">51bc3734ca24fc396cba37ab98bf9a18</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22085242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MUFVPD5EPY3P-699274413-6597</_dlc_DocId>
    <_dlc_DocIdUrl xmlns="a19cb1c7-c5c7-46d4-85ae-d83685407bba">
      <Url>https://swpp2.dms.gkpge.pl/sites/36/_layouts/15/DocIdRedir.aspx?ID=MUFVPD5EPY3P-699274413-6597</Url>
      <Description>MUFVPD5EPY3P-699274413-6597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C2EF5B8-5402-43C4-B7F0-FA4BFA5EB6B6}"/>
</file>

<file path=customXml/itemProps3.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3B757680-AE88-4CD1-A689-2CD64F3C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5</Pages>
  <Words>2053</Words>
  <Characters>12322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POST/DYS/OLD/GZ/01243/2025</dc:subject>
  <dc:creator>Kurpiewska Katarzyna [PGE S.A.]</dc:creator>
  <cp:lastModifiedBy>Jarosz Klaudia [PGE Dystr. O.Łódź]</cp:lastModifiedBy>
  <cp:revision>76</cp:revision>
  <cp:lastPrinted>2021-02-26T13:14:00Z</cp:lastPrinted>
  <dcterms:created xsi:type="dcterms:W3CDTF">2022-07-07T05:28:00Z</dcterms:created>
  <dcterms:modified xsi:type="dcterms:W3CDTF">2025-04-03T12:56:00Z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8d77b69d-46ec-4a4b-80c1-9cdf68f6066a</vt:lpwstr>
  </property>
</Properties>
</file>