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BC73FA">
      <w:pPr>
        <w:pStyle w:val="Nagwek1"/>
        <w:shd w:val="clear" w:color="auto" w:fill="C6D9F1" w:themeFill="text2" w:themeFillTint="33"/>
        <w:spacing w:before="0"/>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230B241F" w:rsidR="00156D62" w:rsidRDefault="00BC73FA" w:rsidP="00BC73FA">
      <w:pPr>
        <w:widowControl w:val="0"/>
        <w:adjustRightInd w:val="0"/>
        <w:spacing w:before="120" w:after="120" w:line="240" w:lineRule="auto"/>
        <w:ind w:left="425"/>
        <w:contextualSpacing/>
        <w:jc w:val="right"/>
        <w:rPr>
          <w:rFonts w:asciiTheme="minorHAnsi" w:eastAsia="Calibri" w:hAnsiTheme="minorHAnsi" w:cstheme="minorHAnsi"/>
          <w:b/>
          <w:sz w:val="20"/>
        </w:rPr>
      </w:pPr>
      <w:r w:rsidRPr="00BC73FA">
        <w:rPr>
          <w:rFonts w:asciiTheme="minorHAnsi" w:eastAsia="Calibri" w:hAnsiTheme="minorHAnsi" w:cstheme="minorHAnsi"/>
          <w:b/>
          <w:sz w:val="20"/>
        </w:rPr>
        <w:t>POST/DYS/OLD/GZ/01243/2025</w:t>
      </w: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17B84ACF"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 xml:space="preserve">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A8F50A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 xml:space="preserve">w rozumieniu ustawy z dnia 1 marca 2018 r. o przeciwdziałaniu praniu pieniędzy oraz finansowaniu terroryzmu (tj. Dz. U. z 2022 r. poz. 593 ze zm.) jest osoba wymieniona w wykazach określonych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6269FE"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 xml:space="preserve">w rozumieniu art. 3 ust. 1 pkt 37 ustawy z dnia 29 września 1994 r. o rachunkowości (tj.: Dz. U. z 2021 r. poz. 217 ze zm.), jest podmiot wymieniony w wykazach określonych w Rozporządzeniu 765/2006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4B183DA2"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prawnych, podmiotów lub organów, do których prawa własności bezpośrednio lub pośrednio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2E6D36CB"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 xml:space="preserve">z dnia 25 czerwca 2010 r. o sporcie (Dz.U. z 2020 r. poz. 1133 oraz z 2021 r. poz. 2054) lub </w:t>
      </w:r>
      <w:r w:rsidR="004771F6">
        <w:rPr>
          <w:rFonts w:asciiTheme="minorHAnsi" w:eastAsia="Calibri" w:hAnsiTheme="minorHAnsi" w:cstheme="minorHAnsi"/>
          <w:bCs/>
          <w:sz w:val="20"/>
        </w:rPr>
        <w:br/>
      </w:r>
      <w:r w:rsidRPr="00A24791">
        <w:rPr>
          <w:rFonts w:asciiTheme="minorHAnsi" w:eastAsia="Calibri" w:hAnsiTheme="minorHAnsi" w:cstheme="minorHAnsi"/>
          <w:bCs/>
          <w:sz w:val="20"/>
        </w:rPr>
        <w:t xml:space="preserve">w art. 54 ust. 1-4 ustawy z dnia 12 maja 2011 r. o refundacji leków, środków spożywczych </w:t>
      </w:r>
      <w:r w:rsidRPr="00A24791">
        <w:rPr>
          <w:rFonts w:asciiTheme="minorHAnsi" w:eastAsia="Calibri" w:hAnsiTheme="minorHAnsi" w:cstheme="minorHAnsi"/>
          <w:bCs/>
          <w:sz w:val="20"/>
        </w:rPr>
        <w:lastRenderedPageBreak/>
        <w:t>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18AA52BE"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w:t>
      </w:r>
      <w:r w:rsidR="004771F6">
        <w:rPr>
          <w:rFonts w:asciiTheme="minorHAnsi" w:eastAsia="Calibri" w:hAnsiTheme="minorHAnsi" w:cstheme="minorHAnsi"/>
          <w:bCs/>
          <w:sz w:val="20"/>
        </w:rPr>
        <w:br/>
      </w:r>
      <w:r w:rsidRPr="00A24791">
        <w:rPr>
          <w:rFonts w:asciiTheme="minorHAnsi" w:eastAsia="Calibri" w:hAnsiTheme="minorHAnsi" w:cstheme="minorHAnsi"/>
          <w:bCs/>
          <w:sz w:val="20"/>
        </w:rPr>
        <w:t>o zamówienia publiczne,</w:t>
      </w:r>
    </w:p>
    <w:p w14:paraId="1FB722EF" w14:textId="6146C4F2"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t>
      </w:r>
      <w:r w:rsidR="004771F6">
        <w:rPr>
          <w:rFonts w:asciiTheme="minorHAnsi" w:eastAsia="Calibri" w:hAnsiTheme="minorHAnsi" w:cstheme="minorHAnsi"/>
          <w:bCs/>
          <w:sz w:val="20"/>
        </w:rPr>
        <w:br/>
      </w:r>
      <w:r w:rsidRPr="00A24791">
        <w:rPr>
          <w:rFonts w:asciiTheme="minorHAnsi" w:eastAsia="Calibri" w:hAnsiTheme="minorHAnsi" w:cstheme="minorHAnsi"/>
          <w:bCs/>
          <w:sz w:val="20"/>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1C0421F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4771F6">
        <w:rPr>
          <w:rFonts w:asciiTheme="minorHAnsi" w:eastAsia="Calibri" w:hAnsiTheme="minorHAnsi" w:cstheme="minorHAnsi"/>
          <w:bCs/>
          <w:sz w:val="20"/>
        </w:rPr>
        <w:br/>
      </w:r>
      <w:r w:rsidRPr="00A24791">
        <w:rPr>
          <w:rFonts w:asciiTheme="minorHAnsi" w:eastAsia="Calibri" w:hAnsiTheme="minorHAnsi" w:cstheme="minorHAnsi"/>
          <w:bCs/>
          <w:sz w:val="20"/>
        </w:rPr>
        <w:t>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w:t>
      </w:r>
      <w:r w:rsidRPr="00A24791">
        <w:rPr>
          <w:rFonts w:asciiTheme="minorHAnsi" w:eastAsia="Calibri" w:hAnsiTheme="minorHAnsi" w:cstheme="minorHAnsi"/>
          <w:bCs/>
          <w:sz w:val="20"/>
        </w:rPr>
        <w:lastRenderedPageBreak/>
        <w:t>podlega wykluczeniu, spełnia warunki udziału w Postępowaniu zakupowym lub kryteria selekcji, co mogło mieć istotny wpływ na decyzje podejmowane przez Zamawiającego w Postępowaniu zakupowym, lub który zataił te informacje,</w:t>
      </w:r>
    </w:p>
    <w:p w14:paraId="5B121E4A" w14:textId="1C1FD1EF"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w:t>
      </w:r>
      <w:r w:rsidR="004771F6">
        <w:rPr>
          <w:rFonts w:asciiTheme="minorHAnsi" w:eastAsia="Calibri" w:hAnsiTheme="minorHAnsi" w:cstheme="minorHAnsi"/>
          <w:bCs/>
          <w:sz w:val="20"/>
        </w:rPr>
        <w:br/>
      </w:r>
      <w:r w:rsidRPr="00A24791">
        <w:rPr>
          <w:rFonts w:asciiTheme="minorHAnsi" w:eastAsia="Calibri" w:hAnsiTheme="minorHAnsi" w:cstheme="minorHAnsi"/>
          <w:bCs/>
          <w:sz w:val="20"/>
        </w:rPr>
        <w:t>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207B3AAA" w:rsidR="00404A53" w:rsidRPr="00FC0243" w:rsidRDefault="00D3564C"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sidR="008E591A" w:rsidRPr="00FC0243">
        <w:rPr>
          <w:rFonts w:asciiTheme="minorHAnsi" w:hAnsiTheme="minorHAnsi" w:cstheme="minorHAnsi"/>
          <w:snapToGrid w:val="0"/>
          <w:sz w:val="20"/>
          <w:lang w:eastAsia="pl-PL"/>
        </w:rPr>
        <w:t>tanowiącym przedmiot zamówienia,</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7DD529D"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70B7143E"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18471AE8" w14:textId="46EAB480" w:rsidR="005712F0" w:rsidRPr="0099620B"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99620B">
        <w:rPr>
          <w:rFonts w:asciiTheme="minorHAnsi" w:hAnsiTheme="minorHAnsi" w:cstheme="minorHAnsi"/>
          <w:sz w:val="20"/>
          <w:lang w:eastAsia="pl-PL"/>
        </w:rPr>
        <w:t>posiadają uprawnienia do prowadzenia prac sieciowych (sieci i urządzenia nN) w technologii PPN</w:t>
      </w:r>
      <w:r w:rsidR="00CF208C">
        <w:rPr>
          <w:rFonts w:asciiTheme="minorHAnsi" w:hAnsiTheme="minorHAnsi" w:cstheme="minorHAnsi"/>
          <w:sz w:val="20"/>
          <w:lang w:eastAsia="pl-PL"/>
        </w:rPr>
        <w:t xml:space="preserve"> (prac pod napięciem) – 2 osoby</w:t>
      </w:r>
      <w:r w:rsidR="009D7438">
        <w:rPr>
          <w:rFonts w:asciiTheme="minorHAnsi" w:hAnsiTheme="minorHAnsi" w:cstheme="minorHAnsi"/>
          <w:sz w:val="20"/>
          <w:lang w:eastAsia="pl-PL"/>
        </w:rPr>
        <w:t>,</w:t>
      </w:r>
      <w:r w:rsidR="00CF208C">
        <w:rPr>
          <w:rFonts w:asciiTheme="minorHAnsi" w:hAnsiTheme="minorHAnsi" w:cstheme="minorHAnsi"/>
          <w:sz w:val="20"/>
          <w:lang w:eastAsia="pl-PL"/>
        </w:rPr>
        <w:t xml:space="preserve"> </w:t>
      </w:r>
    </w:p>
    <w:p w14:paraId="4242608B" w14:textId="17E455CE"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sidR="003D40DF">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sidR="0088374B">
        <w:rPr>
          <w:rFonts w:asciiTheme="minorHAnsi" w:hAnsiTheme="minorHAnsi" w:cstheme="minorHAnsi"/>
          <w:sz w:val="20"/>
          <w:lang w:eastAsia="pl-PL"/>
        </w:rPr>
        <w:br/>
      </w:r>
      <w:r>
        <w:rPr>
          <w:rFonts w:asciiTheme="minorHAnsi" w:hAnsiTheme="minorHAnsi" w:cstheme="minorHAnsi"/>
          <w:sz w:val="20"/>
          <w:lang w:eastAsia="pl-PL"/>
        </w:rPr>
        <w:t xml:space="preserve">i elektroenergetycznych </w:t>
      </w:r>
      <w:r w:rsidR="009D7438">
        <w:rPr>
          <w:rFonts w:asciiTheme="minorHAnsi" w:hAnsiTheme="minorHAnsi" w:cstheme="minorHAnsi"/>
          <w:sz w:val="20"/>
          <w:lang w:eastAsia="pl-PL"/>
        </w:rPr>
        <w:t>–</w:t>
      </w:r>
      <w:r>
        <w:rPr>
          <w:rFonts w:asciiTheme="minorHAnsi" w:hAnsiTheme="minorHAnsi" w:cstheme="minorHAnsi"/>
          <w:sz w:val="20"/>
          <w:lang w:eastAsia="pl-PL"/>
        </w:rPr>
        <w:t xml:space="preserve"> 1 osoba</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37013ABF"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CA6872">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 xml:space="preserve">w Wykazie bądź konieczności zastępstwa takiej osoby, Wykonawca poinformuje o tym fakcie Zamawiającego. Informacja zostanie przekazana pisemnie niezwłocznie, ale nie później niż w ciągu </w:t>
      </w:r>
      <w:r w:rsidR="00CA6872">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w:t>
      </w:r>
      <w:r w:rsidRPr="005903A6">
        <w:rPr>
          <w:rFonts w:asciiTheme="minorHAnsi" w:hAnsiTheme="minorHAnsi" w:cstheme="minorHAnsi"/>
          <w:snapToGrid w:val="0"/>
          <w:sz w:val="20"/>
          <w:lang w:eastAsia="pl-PL"/>
        </w:rPr>
        <w:lastRenderedPageBreak/>
        <w:t>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Pr>
          <w:rFonts w:asciiTheme="minorHAnsi" w:hAnsiTheme="minorHAnsi" w:cstheme="minorHAnsi"/>
          <w:sz w:val="20"/>
          <w:lang w:eastAsia="pl-PL"/>
        </w:rPr>
        <w:t>U</w:t>
      </w:r>
      <w:r w:rsidR="005712F0" w:rsidRPr="004B4556">
        <w:rPr>
          <w:rFonts w:asciiTheme="minorHAnsi" w:hAnsiTheme="minorHAnsi" w:cstheme="minorHAnsi"/>
          <w:sz w:val="20"/>
          <w:lang w:eastAsia="pl-PL"/>
        </w:rPr>
        <w:t xml:space="preserve">bezpieczenie od odpowiedzialności cywilnej w zakresie prowadzonej działalności związanej z przedmiotem zakupu na sumę </w:t>
      </w:r>
      <w:r>
        <w:rPr>
          <w:rFonts w:asciiTheme="minorHAnsi" w:hAnsiTheme="minorHAnsi" w:cstheme="minorHAnsi"/>
          <w:sz w:val="20"/>
          <w:lang w:eastAsia="pl-PL"/>
        </w:rPr>
        <w:t>gwarancyjną</w:t>
      </w:r>
      <w:r w:rsidR="005712F0" w:rsidRPr="004B4556">
        <w:rPr>
          <w:rFonts w:asciiTheme="minorHAnsi" w:hAnsiTheme="minorHAnsi" w:cstheme="minorHAnsi"/>
          <w:sz w:val="20"/>
          <w:lang w:eastAsia="pl-PL"/>
        </w:rPr>
        <w:t xml:space="preserve"> w</w:t>
      </w:r>
      <w:r w:rsidR="000C2197">
        <w:rPr>
          <w:rFonts w:asciiTheme="minorHAnsi" w:hAnsiTheme="minorHAnsi" w:cstheme="minorHAnsi"/>
          <w:sz w:val="20"/>
          <w:lang w:eastAsia="pl-PL"/>
        </w:rPr>
        <w:t xml:space="preserve"> wysokości co najmniej </w:t>
      </w:r>
      <w:r w:rsidR="003A2EF0">
        <w:rPr>
          <w:rFonts w:asciiTheme="minorHAnsi" w:hAnsiTheme="minorHAnsi" w:cstheme="minorHAnsi"/>
          <w:sz w:val="20"/>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6AF17BD9"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w:t>
      </w:r>
      <w:r w:rsidR="00CA6872">
        <w:rPr>
          <w:rFonts w:asciiTheme="minorHAnsi" w:eastAsia="Calibri" w:hAnsiTheme="minorHAnsi" w:cstheme="minorHAnsi"/>
          <w:b/>
          <w:sz w:val="20"/>
        </w:rPr>
        <w:br/>
      </w:r>
      <w:r w:rsidRPr="00954A7F">
        <w:rPr>
          <w:rFonts w:asciiTheme="minorHAnsi" w:eastAsia="Calibri" w:hAnsiTheme="minorHAnsi" w:cstheme="minorHAnsi"/>
          <w:b/>
          <w:sz w:val="20"/>
        </w:rPr>
        <w:t xml:space="preserve">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5485BA1D"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CA6872">
        <w:rPr>
          <w:rFonts w:asciiTheme="minorHAnsi" w:eastAsia="Calibri" w:hAnsiTheme="minorHAnsi" w:cstheme="minorHAnsi"/>
          <w:sz w:val="20"/>
        </w:rPr>
        <w:br/>
      </w:r>
      <w:r w:rsidRPr="004D2168">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t>
      </w:r>
      <w:r w:rsidRPr="004D2168">
        <w:rPr>
          <w:rFonts w:asciiTheme="minorHAnsi" w:eastAsia="Calibri" w:hAnsiTheme="minorHAnsi" w:cstheme="minorHAnsi"/>
          <w:sz w:val="20"/>
        </w:rPr>
        <w:lastRenderedPageBreak/>
        <w:t xml:space="preserve">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77777777"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Default="00954A7F" w:rsidP="00954A7F">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38189CF1" w14:textId="01CE7A8F"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CA6872">
        <w:rPr>
          <w:rFonts w:asciiTheme="minorHAnsi" w:eastAsia="Calibri" w:hAnsiTheme="minorHAnsi" w:cstheme="minorHAnsi"/>
          <w:sz w:val="20"/>
        </w:rPr>
        <w:br/>
      </w:r>
      <w:r w:rsidRPr="003E61E0">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62B37DAD"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0878B7">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4E2DD485"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0878B7">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0878B7">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70400B">
        <w:rPr>
          <w:rFonts w:asciiTheme="minorHAnsi" w:hAnsiTheme="minorHAnsi" w:cstheme="minorHAnsi"/>
          <w:sz w:val="20"/>
        </w:rPr>
        <w:br/>
      </w:r>
      <w:r w:rsidRPr="00EA1FB3">
        <w:rPr>
          <w:rFonts w:asciiTheme="minorHAnsi" w:hAnsiTheme="minorHAnsi" w:cstheme="minorHAnsi"/>
          <w:sz w:val="20"/>
        </w:rPr>
        <w:t>w zakresie gwarancji bezpieczeństwa przetwarzani</w:t>
      </w:r>
      <w:bookmarkStart w:id="2" w:name="_GoBack"/>
      <w:bookmarkEnd w:id="2"/>
      <w:r w:rsidRPr="00EA1FB3">
        <w:rPr>
          <w:rFonts w:asciiTheme="minorHAnsi" w:hAnsiTheme="minorHAnsi" w:cstheme="minorHAnsi"/>
          <w:sz w:val="20"/>
        </w:rPr>
        <w:t>a danych osobowych lub kiedy Zamawiający po analizie ankiety uzna, że Wykonawca nie daje takich gwarancji Oferta Wykonawcy podlega odrzuceniu.</w:t>
      </w:r>
    </w:p>
    <w:p w14:paraId="20B44C91" w14:textId="71C9DB72" w:rsidR="00597C07" w:rsidRPr="0070400B" w:rsidRDefault="00597C07" w:rsidP="003354D2">
      <w:pPr>
        <w:spacing w:before="120" w:after="120" w:line="240" w:lineRule="auto"/>
        <w:ind w:left="426"/>
        <w:contextualSpacing/>
        <w:rPr>
          <w:rFonts w:asciiTheme="minorHAnsi" w:eastAsia="Calibri" w:hAnsiTheme="minorHAnsi" w:cstheme="minorHAnsi"/>
          <w:sz w:val="10"/>
          <w:szCs w:val="1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6F35A3C6"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0878B7">
        <w:rPr>
          <w:rFonts w:asciiTheme="minorHAnsi" w:hAnsiTheme="minorHAnsi" w:cstheme="minorHAnsi"/>
          <w:b/>
          <w:sz w:val="20"/>
        </w:rPr>
        <w:t xml:space="preserve"> nie podlegają uzupełnieniu</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1F3E141C"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444B82EC" w14:textId="517154AA"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Dokumenty wymagane w pkt. 2.1., 2.2., 2.4., 2.5</w:t>
      </w:r>
      <w:r w:rsidR="000878B7">
        <w:rPr>
          <w:rFonts w:asciiTheme="minorHAnsi" w:hAnsiTheme="minorHAnsi" w:cstheme="minorHAnsi"/>
          <w:sz w:val="20"/>
        </w:rPr>
        <w:t>., 2.6., 2,8., 3.4., 3.5.,</w:t>
      </w:r>
      <w:r w:rsidRPr="005B5AB4">
        <w:rPr>
          <w:rFonts w:asciiTheme="minorHAnsi" w:hAnsiTheme="minorHAnsi" w:cstheme="minorHAnsi"/>
          <w:sz w:val="20"/>
        </w:rPr>
        <w:t xml:space="preserve"> 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47414220"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2.</w:t>
      </w:r>
      <w:r w:rsidR="008E52F7">
        <w:rPr>
          <w:rFonts w:asciiTheme="minorHAnsi" w:hAnsiTheme="minorHAnsi" w:cstheme="minorHAnsi"/>
          <w:sz w:val="20"/>
        </w:rPr>
        <w:t>4., 2.5., 2.6., 2.8.,</w:t>
      </w:r>
      <w:r w:rsidRPr="005B5AB4">
        <w:rPr>
          <w:rFonts w:asciiTheme="minorHAnsi" w:hAnsiTheme="minorHAnsi" w:cstheme="minorHAnsi"/>
          <w:sz w:val="20"/>
        </w:rPr>
        <w:t xml:space="preserve">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 xml:space="preserve">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w:t>
      </w:r>
      <w:r w:rsidRPr="00F352A5">
        <w:rPr>
          <w:rFonts w:asciiTheme="minorHAnsi" w:hAnsiTheme="minorHAnsi" w:cstheme="minorHAnsi"/>
          <w:sz w:val="20"/>
        </w:rPr>
        <w:lastRenderedPageBreak/>
        <w:t>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032B" w14:textId="77777777" w:rsidR="00662688" w:rsidRDefault="00662688" w:rsidP="004A302B">
      <w:pPr>
        <w:spacing w:line="240" w:lineRule="auto"/>
      </w:pPr>
      <w:r>
        <w:separator/>
      </w:r>
    </w:p>
  </w:endnote>
  <w:endnote w:type="continuationSeparator" w:id="0">
    <w:p w14:paraId="306118A9" w14:textId="77777777" w:rsidR="00662688" w:rsidRDefault="006626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6C3834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0400B">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0400B">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F637" w14:textId="77777777" w:rsidR="00662688" w:rsidRDefault="00662688" w:rsidP="004A302B">
      <w:pPr>
        <w:spacing w:line="240" w:lineRule="auto"/>
      </w:pPr>
      <w:r>
        <w:separator/>
      </w:r>
    </w:p>
  </w:footnote>
  <w:footnote w:type="continuationSeparator" w:id="0">
    <w:p w14:paraId="5B0B8596" w14:textId="77777777" w:rsidR="00662688" w:rsidRDefault="006626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5866B4F" w:rsidR="002369B6" w:rsidRDefault="00A81844" w:rsidP="00A81844">
    <w:pPr>
      <w:pStyle w:val="Nagwek"/>
      <w:tabs>
        <w:tab w:val="clear" w:pos="4536"/>
        <w:tab w:val="clear" w:pos="9072"/>
        <w:tab w:val="left" w:pos="5265"/>
      </w:tabs>
      <w:spacing w:after="120" w:line="276" w:lineRule="auto"/>
      <w:rPr>
        <w:rFonts w:ascii="Calibri" w:hAnsi="Calibri" w:cs="Calibri"/>
        <w:sz w:val="18"/>
        <w:szCs w:val="18"/>
      </w:rPr>
    </w:pPr>
    <w:r>
      <w:rPr>
        <w:noProof/>
        <w:lang w:eastAsia="pl-PL"/>
      </w:rPr>
      <w:drawing>
        <wp:inline distT="0" distB="0" distL="0" distR="0" wp14:anchorId="50CF83B3" wp14:editId="43FC473D">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p w14:paraId="54951A46" w14:textId="0E4C7854" w:rsidR="002369B6" w:rsidRPr="00A31C7C" w:rsidRDefault="009A09D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Postępowanie zakupowe nr </w:t>
    </w:r>
    <w:r w:rsidR="004771F6" w:rsidRPr="004771F6">
      <w:rPr>
        <w:rFonts w:asciiTheme="minorHAnsi" w:hAnsiTheme="minorHAnsi" w:cstheme="minorHAnsi"/>
        <w:sz w:val="18"/>
        <w:szCs w:val="18"/>
      </w:rPr>
      <w:t>POST/DYS/OLD/GZ/01243/2025</w:t>
    </w:r>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2FD58" w14:textId="23902BEA" w:rsidR="000F3139" w:rsidRDefault="000F3139">
    <w:pPr>
      <w:pStyle w:val="Nagwek"/>
    </w:pPr>
    <w:r>
      <w:rPr>
        <w:noProof/>
        <w:lang w:eastAsia="pl-PL"/>
      </w:rPr>
      <w:drawing>
        <wp:inline distT="0" distB="0" distL="0" distR="0" wp14:anchorId="6CF18413" wp14:editId="0864C57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878B7"/>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139"/>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1F6"/>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00B"/>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2F7"/>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1844"/>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C73FA"/>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87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POST/DYS/OLD/GZ/01243/2025                        </dmsv2SWPP2ObjectNumber>
    <dmsv2SWPP2SumMD5 xmlns="http://schemas.microsoft.com/sharepoint/v3">7b34f36549513a9a475717b3176c0199</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22085247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MUFVPD5EPY3P-699274413-6602</_dlc_DocId>
    <_dlc_DocIdUrl xmlns="a19cb1c7-c5c7-46d4-85ae-d83685407bba">
      <Url>https://swpp2.dms.gkpge.pl/sites/36/_layouts/15/DocIdRedir.aspx?ID=MUFVPD5EPY3P-699274413-6602</Url>
      <Description>MUFVPD5EPY3P-699274413-6602</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EF16C9F-D7B8-42EC-82C6-1C7AB6CC6EBF}"/>
</file>

<file path=customXml/itemProps6.xml><?xml version="1.0" encoding="utf-8"?>
<ds:datastoreItem xmlns:ds="http://schemas.openxmlformats.org/officeDocument/2006/customXml" ds:itemID="{1EB68D79-2923-4A56-84DC-4FDFAD23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3530</Words>
  <Characters>21184</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Jarosz Klaudia [PGE Dystr. O.Łódź]</cp:lastModifiedBy>
  <cp:revision>5</cp:revision>
  <cp:lastPrinted>2021-02-26T13:14:00Z</cp:lastPrinted>
  <dcterms:created xsi:type="dcterms:W3CDTF">2023-02-26T09:05:00Z</dcterms:created>
  <dcterms:modified xsi:type="dcterms:W3CDTF">2025-04-03T13:09:00Z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2d38e439-e55d-4850-af37-992def740ed1</vt:lpwstr>
  </property>
</Properties>
</file>