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5.docx</dmsv2BaseFileName>
    <dmsv2BaseDisplayName xmlns="http://schemas.microsoft.com/sharepoint/v3">Załącznik nr 5</dmsv2BaseDisplayName>
    <dmsv2SWPP2ObjectNumber xmlns="http://schemas.microsoft.com/sharepoint/v3">POST/DYS/OLD/GZ/01044/2025                        </dmsv2SWPP2ObjectNumber>
    <dmsv2SWPP2SumMD5 xmlns="http://schemas.microsoft.com/sharepoint/v3">1429d609548db685258cf4af08841d92</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21957954</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JT264K7MUK5A-1833278153-19992</_dlc_DocId>
    <_dlc_DocIdUrl xmlns="a19cb1c7-c5c7-46d4-85ae-d83685407bba">
      <Url>https://swpp2.dms.gkpge.pl/sites/35/_layouts/15/DocIdRedir.aspx?ID=JT264K7MUK5A-1833278153-19992</Url>
      <Description>JT264K7MUK5A-1833278153-19992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74B6C8-55D8-45AB-BDAD-D051654E9B07}"/>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F6E81405-560B-4930-B3AA-1965FCE67A9D}"/>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ocset_NoMedatataSyncRequired">
    <vt:lpwstr>False</vt:lpwstr>
  </property>
  <property fmtid="{D5CDD505-2E9C-101B-9397-08002B2CF9AE}" pid="4" name="_dlc_DocIdItemGuid">
    <vt:lpwstr>c2bade95-d58f-4e78-b70c-4037fa7f9b9f</vt:lpwstr>
  </property>
</Properties>
</file>