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840A10" w:rsidRDefault="00121410" w:rsidP="00840A10">
      <w:pPr>
        <w:pStyle w:val="Nagwek1"/>
        <w:rPr>
          <w:lang w:val="pl-PL"/>
        </w:rPr>
      </w:pPr>
      <w:r w:rsidRPr="00840A10">
        <w:rPr>
          <w:lang w:val="pl-PL"/>
        </w:rPr>
        <w:t>Zakres zamówienia</w:t>
      </w:r>
    </w:p>
    <w:p w:rsidR="00121410" w:rsidRPr="00590219" w:rsidRDefault="00121410" w:rsidP="00121410">
      <w:pPr>
        <w:pStyle w:val="bezpunkw"/>
      </w:pPr>
      <w:r w:rsidRPr="00590219">
        <w:t>Zakres zamówienia obejmuje:</w:t>
      </w:r>
    </w:p>
    <w:p w:rsidR="00121410" w:rsidRPr="00121410" w:rsidRDefault="00121410" w:rsidP="00121410">
      <w:pPr>
        <w:pStyle w:val="Styl2"/>
      </w:pPr>
      <w:r w:rsidRPr="00121410">
        <w:t>Oprac</w:t>
      </w:r>
      <w:r w:rsidR="000C4FFF">
        <w:t>owanie dokumentacji projektowej</w:t>
      </w:r>
      <w:r w:rsidR="000C4FFF">
        <w:rPr>
          <w:lang w:val="pl-PL"/>
        </w:rPr>
        <w:t>,</w:t>
      </w:r>
      <w:bookmarkStart w:id="0" w:name="_GoBack"/>
      <w:bookmarkEnd w:id="0"/>
    </w:p>
    <w:p w:rsidR="00121410" w:rsidRPr="00590219" w:rsidRDefault="00121410" w:rsidP="00121410">
      <w:pPr>
        <w:pStyle w:val="Styl2"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121410">
      <w:pPr>
        <w:pStyle w:val="Styl2"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121410">
      <w:pPr>
        <w:pStyle w:val="Styl2"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Przeprowadzenie prac pomiarowych, badań pomontażowych, oraz uczestniczenie w pracach odbiorowych</w:t>
      </w:r>
      <w:r>
        <w:rPr>
          <w:lang w:val="pl-PL"/>
        </w:rPr>
        <w:t>,</w:t>
      </w:r>
    </w:p>
    <w:p w:rsidR="00121410" w:rsidRPr="00590219" w:rsidRDefault="00121410" w:rsidP="00121410">
      <w:pPr>
        <w:pStyle w:val="Styl2"/>
      </w:pPr>
      <w:r w:rsidRPr="00590219">
        <w:t>Przygotowanie dokumentacji powykonawczej</w:t>
      </w:r>
      <w:r>
        <w:rPr>
          <w:lang w:val="pl-PL"/>
        </w:rPr>
        <w:t>.</w:t>
      </w:r>
    </w:p>
    <w:p w:rsidR="00121410" w:rsidRPr="00840A10" w:rsidRDefault="00121410" w:rsidP="00840A10">
      <w:pPr>
        <w:pStyle w:val="Nagwek1"/>
        <w:rPr>
          <w:lang w:val="pl-PL"/>
        </w:rPr>
      </w:pPr>
      <w:bookmarkStart w:id="1" w:name="_Toc312846236"/>
      <w:r w:rsidRPr="00840A10">
        <w:rPr>
          <w:lang w:val="pl-PL"/>
        </w:rPr>
        <w:t>Stan projektowany</w:t>
      </w:r>
      <w:bookmarkEnd w:id="1"/>
    </w:p>
    <w:p w:rsidR="00D41BF7" w:rsidRDefault="00121410" w:rsidP="00D41BF7">
      <w:r w:rsidRPr="00A93CA7">
        <w:rPr>
          <w:rFonts w:ascii="Calibri" w:hAnsi="Calibri"/>
          <w:b/>
          <w:sz w:val="22"/>
          <w:szCs w:val="22"/>
          <w:u w:val="single"/>
        </w:rPr>
        <w:t>Zadanie obejmuje:</w:t>
      </w:r>
      <w:r w:rsidR="00794BF1" w:rsidRPr="00794BF1">
        <w:t xml:space="preserve"> </w:t>
      </w:r>
    </w:p>
    <w:p w:rsidR="009425F0" w:rsidRPr="009425F0" w:rsidRDefault="003B1B69" w:rsidP="009425F0">
      <w:pPr>
        <w:rPr>
          <w:rFonts w:ascii="Calibri" w:hAnsi="Calibri" w:cs="Calibri"/>
          <w:b/>
          <w:sz w:val="22"/>
          <w:szCs w:val="22"/>
        </w:rPr>
      </w:pPr>
      <w:r w:rsidRPr="009425F0">
        <w:rPr>
          <w:rFonts w:asciiTheme="minorHAnsi" w:hAnsiTheme="minorHAnsi" w:cstheme="minorHAnsi"/>
          <w:sz w:val="22"/>
          <w:szCs w:val="22"/>
        </w:rPr>
        <w:t xml:space="preserve"> </w:t>
      </w:r>
      <w:r w:rsidR="009425F0" w:rsidRPr="009425F0">
        <w:rPr>
          <w:rFonts w:ascii="Calibri" w:hAnsi="Calibri" w:cs="Calibri"/>
          <w:b/>
          <w:sz w:val="22"/>
          <w:szCs w:val="22"/>
        </w:rPr>
        <w:t xml:space="preserve">- na dz. nr 160/7 wybudować sieciową stację transformatorową słupową uproszczoną 20/400 na żerdziach wirowych. Stację wyposażyć w 4-polową rozdzielnicę nN ( z aparaturą 630 A) i transformator o mocy 250 kVA, </w:t>
      </w:r>
    </w:p>
    <w:p w:rsidR="009425F0" w:rsidRPr="009425F0" w:rsidRDefault="009425F0" w:rsidP="009425F0">
      <w:pPr>
        <w:rPr>
          <w:rFonts w:ascii="Calibri" w:hAnsi="Calibri" w:cs="Calibri"/>
          <w:b/>
          <w:sz w:val="22"/>
          <w:szCs w:val="22"/>
        </w:rPr>
      </w:pPr>
      <w:r w:rsidRPr="009425F0">
        <w:rPr>
          <w:rFonts w:ascii="Calibri" w:hAnsi="Calibri" w:cs="Calibri"/>
          <w:b/>
          <w:sz w:val="22"/>
          <w:szCs w:val="22"/>
        </w:rPr>
        <w:t xml:space="preserve">- projektowaną stację transformatorową zasilić przewodem 3 x AAsXSn 1 x 5O mm2 jako odgałęzienie od istniejącego słupa linii SN wym. w pkt. 1, </w:t>
      </w:r>
    </w:p>
    <w:p w:rsidR="003B1B69" w:rsidRPr="009425F0" w:rsidRDefault="009425F0" w:rsidP="009425F0">
      <w:pPr>
        <w:pStyle w:val="Nagwek1"/>
        <w:numPr>
          <w:ilvl w:val="0"/>
          <w:numId w:val="0"/>
        </w:numPr>
        <w:ind w:left="432"/>
        <w:rPr>
          <w:rFonts w:asciiTheme="minorHAnsi" w:hAnsiTheme="minorHAnsi" w:cstheme="minorHAnsi"/>
          <w:szCs w:val="24"/>
        </w:rPr>
      </w:pPr>
      <w:r w:rsidRPr="009425F0">
        <w:rPr>
          <w:rFonts w:cs="Calibri"/>
          <w:sz w:val="22"/>
          <w:szCs w:val="22"/>
        </w:rPr>
        <w:t>- z rozdzielnicy nN projektowanej stacji transformatorowej wybudować przyłącze YAKXS 4 x 240 mm2 (ok. 200m) do złącza kablowo-pomiarowego układ półpośredni RBL+lP, które należy zlokalizować w linii ogrodzenia/granicy dz. nr 141/2</w:t>
      </w:r>
      <w:r w:rsidR="003B1B69" w:rsidRPr="003B1B69">
        <w:rPr>
          <w:rFonts w:asciiTheme="minorHAnsi" w:hAnsiTheme="minorHAnsi" w:cstheme="minorHAnsi"/>
          <w:b w:val="0"/>
          <w:sz w:val="22"/>
          <w:szCs w:val="22"/>
          <w:lang w:val="pl-PL" w:eastAsia="pl-PL"/>
        </w:rPr>
        <w:t xml:space="preserve">  </w:t>
      </w:r>
    </w:p>
    <w:p w:rsidR="00121410" w:rsidRDefault="00121410" w:rsidP="003B1B69">
      <w:pPr>
        <w:pStyle w:val="Nagwek1"/>
      </w:pPr>
      <w:r w:rsidRPr="00121410">
        <w:t>Przygotowanie dokumentacji projektowej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2" w:name="_Toc312846238"/>
      <w:r w:rsidRPr="00A71BDA">
        <w:rPr>
          <w:rFonts w:ascii="Calibri" w:hAnsi="Calibri"/>
          <w:b/>
          <w:sz w:val="22"/>
        </w:rPr>
        <w:t>Wymagania ogólne</w:t>
      </w:r>
      <w:bookmarkEnd w:id="2"/>
    </w:p>
    <w:p w:rsidR="00A71BDA" w:rsidRPr="00A71BDA" w:rsidRDefault="00A71BDA" w:rsidP="005776CB">
      <w:pPr>
        <w:widowControl w:val="0"/>
        <w:numPr>
          <w:ilvl w:val="0"/>
          <w:numId w:val="14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Zamówienie w zakresie dokumentacji projektowej obejmuje, uzyskanie kompletnej dokumentacji projektowej  (w tym projektu budowlanego i projektu wykonawczego) dla budowy urządzeń elektroenergetycznych, sporządzonej zgodnie z normami, przepisami, zasadami współczesnej wiedzy technicznej, przepisami BHP, a w szczególności: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3" w:name="_Toc312846239"/>
      <w:r w:rsidRPr="00A71BDA">
        <w:rPr>
          <w:rFonts w:ascii="Calibri" w:hAnsi="Calibri"/>
          <w:color w:val="000000"/>
          <w:sz w:val="22"/>
          <w:szCs w:val="22"/>
        </w:rPr>
        <w:t>Przepisami Prawa Budowlanego i Prawa Energetycznego.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>Rozporządzeniem Ministra Infrastruktury z dnia 2 września 2004 r. w sprawie szczegółowego zakresu i formy dokumentacji projektowej.</w:t>
      </w:r>
    </w:p>
    <w:p w:rsidR="00A71BDA" w:rsidRPr="0052169C" w:rsidRDefault="0052169C" w:rsidP="005776CB">
      <w:pPr>
        <w:numPr>
          <w:ilvl w:val="0"/>
          <w:numId w:val="18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r w:rsidRPr="0052169C">
        <w:rPr>
          <w:rFonts w:ascii="Calibri" w:hAnsi="Calibri"/>
          <w:color w:val="000000"/>
          <w:sz w:val="22"/>
          <w:szCs w:val="22"/>
        </w:rPr>
        <w:t xml:space="preserve">Rozporządzeniem Ministra Transportu, Budownictwa i Gospodarki Morskiej z dnia </w:t>
      </w:r>
      <w:r>
        <w:rPr>
          <w:rFonts w:ascii="Calibri" w:hAnsi="Calibri"/>
          <w:color w:val="000000"/>
          <w:sz w:val="22"/>
          <w:szCs w:val="22"/>
        </w:rPr>
        <w:br/>
      </w:r>
      <w:r w:rsidRPr="0052169C">
        <w:rPr>
          <w:rFonts w:ascii="Calibri" w:hAnsi="Calibri"/>
          <w:color w:val="000000"/>
          <w:sz w:val="22"/>
          <w:szCs w:val="22"/>
        </w:rPr>
        <w:t>25 kwietnia 2012 r. w sprawie szczegółowego zakresu i formy projektu budowlanego.</w:t>
      </w:r>
    </w:p>
    <w:p w:rsidR="00A71BDA" w:rsidRPr="00A71BDA" w:rsidRDefault="00A71BDA" w:rsidP="005776CB">
      <w:pPr>
        <w:numPr>
          <w:ilvl w:val="0"/>
          <w:numId w:val="18"/>
        </w:numPr>
        <w:spacing w:before="0" w:after="0"/>
        <w:rPr>
          <w:rFonts w:ascii="Calibri" w:hAnsi="Calibri"/>
          <w:bCs/>
          <w:color w:val="000000"/>
          <w:sz w:val="22"/>
          <w:szCs w:val="22"/>
        </w:rPr>
      </w:pPr>
      <w:r w:rsidRPr="00A71BDA">
        <w:rPr>
          <w:rFonts w:ascii="Calibri" w:hAnsi="Calibri"/>
          <w:color w:val="000000"/>
          <w:sz w:val="22"/>
          <w:szCs w:val="22"/>
        </w:rPr>
        <w:t xml:space="preserve">Dokumentacja powinna zawierać wszystkie niezbędne uzgodnienia i ostateczne decyzje uprawniające Zamawiającego do </w:t>
      </w:r>
      <w:r w:rsidRPr="00A71BDA">
        <w:rPr>
          <w:rFonts w:ascii="Calibri" w:hAnsi="Calibri"/>
          <w:bCs/>
          <w:color w:val="000000"/>
          <w:sz w:val="22"/>
          <w:szCs w:val="22"/>
        </w:rPr>
        <w:t>przebudowy sieci elektroenergetycznej w/w zakresie</w:t>
      </w:r>
    </w:p>
    <w:p w:rsidR="00C2698E" w:rsidRPr="00EC58AA" w:rsidRDefault="00C2698E" w:rsidP="005776CB">
      <w:pPr>
        <w:numPr>
          <w:ilvl w:val="0"/>
          <w:numId w:val="18"/>
        </w:numPr>
        <w:spacing w:before="0" w:after="0"/>
        <w:rPr>
          <w:rStyle w:val="Hipercze"/>
          <w:rFonts w:asciiTheme="minorHAnsi" w:hAnsiTheme="minorHAnsi"/>
          <w:color w:val="auto"/>
          <w:sz w:val="22"/>
          <w:szCs w:val="22"/>
          <w:lang w:val="x-none" w:eastAsia="x-none"/>
        </w:rPr>
      </w:pPr>
      <w:r w:rsidRPr="00EC58AA">
        <w:rPr>
          <w:rFonts w:ascii="Calibri" w:hAnsi="Calibri"/>
          <w:sz w:val="22"/>
          <w:szCs w:val="22"/>
        </w:rPr>
        <w:t>Rozwiązania techniczne, zastosowanie materiałów i urządzeń elektroenergetycznych winny być zgodne z obowiązującymi w PGE Dystrybucja S.A. Oddział Łódź standardami budowy urządzeń objętych w opracowaniu „Wytyczne do budowy systemów elektroenergetycznych w PGE Dystrybucja S.A.”</w:t>
      </w:r>
      <w:r w:rsidRPr="00EC58AA">
        <w:t xml:space="preserve"> </w:t>
      </w:r>
      <w:r w:rsidRPr="00EC58AA">
        <w:rPr>
          <w:rFonts w:ascii="Calibri" w:hAnsi="Calibri"/>
          <w:sz w:val="22"/>
          <w:szCs w:val="22"/>
        </w:rPr>
        <w:t xml:space="preserve">dostępne na stronie </w:t>
      </w:r>
      <w:hyperlink r:id="rId12" w:history="1"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http://www.pgedystrybucja.pl/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eastAsia="x-none"/>
          </w:rPr>
          <w:t>strefa</w:t>
        </w:r>
        <w:r w:rsidR="0095007B" w:rsidRPr="00EB30A9">
          <w:rPr>
            <w:rStyle w:val="Hipercze"/>
            <w:rFonts w:asciiTheme="minorHAnsi" w:hAnsiTheme="minorHAnsi"/>
            <w:sz w:val="22"/>
            <w:szCs w:val="22"/>
            <w:lang w:val="x-none" w:eastAsia="x-none"/>
          </w:rPr>
          <w:t>-klienta/przydatne-dokumenty</w:t>
        </w:r>
      </w:hyperlink>
      <w:r w:rsidR="008954EC">
        <w:rPr>
          <w:rStyle w:val="Hipercze"/>
          <w:rFonts w:asciiTheme="minorHAnsi" w:hAnsiTheme="minorHAnsi"/>
          <w:color w:val="auto"/>
          <w:sz w:val="22"/>
          <w:szCs w:val="22"/>
          <w:lang w:eastAsia="x-none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>Zakres dokumentacji projektowej</w:t>
      </w:r>
      <w:bookmarkEnd w:id="3"/>
    </w:p>
    <w:p w:rsidR="00A71BDA" w:rsidRPr="00A71BDA" w:rsidRDefault="00A71BDA" w:rsidP="00A71BDA">
      <w:pPr>
        <w:ind w:left="0" w:firstLine="426"/>
        <w:rPr>
          <w:rFonts w:ascii="Calibri" w:hAnsi="Calibri"/>
          <w:sz w:val="22"/>
          <w:szCs w:val="22"/>
        </w:rPr>
      </w:pPr>
      <w:r w:rsidRPr="00A71BDA">
        <w:rPr>
          <w:rFonts w:ascii="Calibri" w:hAnsi="Calibri"/>
          <w:sz w:val="22"/>
          <w:szCs w:val="22"/>
        </w:rPr>
        <w:t>Zamówienie w zakresie dokumentacji projektowej obejmuje w szczególności: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Uzyskanie przez Wykonawcę kompletu niezbędnych map, podkładów i inwentaryzacji geodezyjnej oraz ich aktualizacji.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lastRenderedPageBreak/>
        <w:t>Uzyskanie w zakresie każdej nieruchomości, na której zlokalizowane są urządzenia elektroenergetyczne w zakresie niezbędnym do wykonania zadania, aktualnego wypisu z ewidencji gruntów i sprawdzenie wypisu poprzez porównanie z zapisami Ksiąg Wieczystych. Sporządzenie wykazu właścicieli gruntów, na których zlokalizowane są urządzenia elektroenergetyczne w zakresie niezbędnym do wykonania zadania.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Przygotowanie z opisem, wypełnienie oraz podpisanie wszystkich wniosków w imieniu Zamawiającego do urzędów administracji państwowej, terytorialnej i  terenowej o wydanie wszystkich decyzji związanych z wykonywaniem dokumentacji projektowej oraz udzielenie wszelkich wyjaśnień w Urzędach Administracyjnych (w tym również reprezentowanie Zamawiającego w postępowaniach administracyjnych i sądowych), a dotyczących w/w wniosków. </w:t>
      </w:r>
    </w:p>
    <w:p w:rsid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Pokrycie wszelkich opłat wynikających z obowiązujących przepisów związanych z uzyskaniem dokumentacji prawnej.</w:t>
      </w:r>
    </w:p>
    <w:p w:rsidR="00C2698E" w:rsidRPr="00EC58AA" w:rsidRDefault="00C2698E" w:rsidP="005776CB">
      <w:pPr>
        <w:widowControl w:val="0"/>
        <w:numPr>
          <w:ilvl w:val="0"/>
          <w:numId w:val="15"/>
        </w:numPr>
        <w:spacing w:before="0" w:after="0"/>
        <w:outlineLvl w:val="3"/>
        <w:rPr>
          <w:rFonts w:ascii="Calibri" w:hAnsi="Calibri" w:cs="Calibri"/>
          <w:sz w:val="22"/>
          <w:szCs w:val="22"/>
        </w:rPr>
      </w:pPr>
      <w:r w:rsidRPr="00EC58AA">
        <w:rPr>
          <w:rFonts w:ascii="Calibri" w:hAnsi="Calibri" w:cs="Calibri"/>
          <w:sz w:val="22"/>
          <w:szCs w:val="22"/>
        </w:rPr>
        <w:t xml:space="preserve">Opracowanie </w:t>
      </w:r>
      <w:r w:rsidR="009C5DE8">
        <w:rPr>
          <w:rFonts w:ascii="Calibri" w:hAnsi="Calibri" w:cs="Calibri"/>
          <w:sz w:val="22"/>
          <w:szCs w:val="22"/>
        </w:rPr>
        <w:t>dokumentacji techniczno-prawnej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będzie przedłożona Zamawiającemu do uzgodnień i akceptacji. Uzgodnienie przez Zamawiającego dokumentacji nie zwalnia Wykonawcy od zrealizowania zakresu prac zgodnie z wiedzą techniczną.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Dokumentacja projektowa musi być uzgodniona przez Zamawiającego przed zgłoszeniem wykonania robót budowlano – montażowych i ich rozpoczęciem.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budowie realizowanej według wykonanej przez siebie dokumentacji projektowej, w zakresie czynności wynikających z Prawa Budowlanego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 xml:space="preserve">Uzyskanie prawomocnego pozwolenia na budowę lub niezakwestionowanego </w:t>
      </w:r>
      <w:r w:rsidRPr="00A71BDA">
        <w:rPr>
          <w:rFonts w:ascii="Calibri" w:hAnsi="Calibri"/>
          <w:color w:val="000000"/>
          <w:sz w:val="22"/>
          <w:u w:val="single"/>
        </w:rPr>
        <w:t>zgłoszenia robót do Starostwa Powiatowego</w:t>
      </w:r>
      <w:r w:rsidRPr="00A71BDA">
        <w:rPr>
          <w:rFonts w:ascii="Calibri" w:hAnsi="Calibri"/>
          <w:color w:val="000000"/>
          <w:sz w:val="22"/>
        </w:rPr>
        <w:t>.</w:t>
      </w:r>
    </w:p>
    <w:p w:rsidR="00A71BDA" w:rsidRPr="00A71BDA" w:rsidRDefault="00A71BDA" w:rsidP="005776CB">
      <w:pPr>
        <w:widowControl w:val="0"/>
        <w:numPr>
          <w:ilvl w:val="0"/>
          <w:numId w:val="15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 dokumentacji  projektowej  utrzymać zgodność  nadanych oznakowań, opisów,  relacji, identyfikujących urządzenia w terenie.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4" w:name="_Toc312846240"/>
      <w:r w:rsidRPr="00A71BDA">
        <w:rPr>
          <w:rFonts w:ascii="Calibri" w:hAnsi="Calibri"/>
          <w:b/>
          <w:sz w:val="22"/>
        </w:rPr>
        <w:t>Nabywanie praw do nieruchomości</w:t>
      </w:r>
      <w:bookmarkEnd w:id="4"/>
    </w:p>
    <w:p w:rsidR="00F135BF" w:rsidRPr="00F135BF" w:rsidRDefault="00F135BF" w:rsidP="00F135BF">
      <w:pPr>
        <w:pStyle w:val="Akapitzlist"/>
        <w:spacing w:before="0" w:after="0"/>
        <w:ind w:left="360" w:firstLine="0"/>
        <w:rPr>
          <w:rFonts w:ascii="Calibri" w:hAnsi="Calibri" w:cs="Calibri"/>
          <w:sz w:val="22"/>
          <w:szCs w:val="22"/>
        </w:rPr>
      </w:pPr>
      <w:bookmarkStart w:id="5" w:name="_Toc312846241"/>
      <w:r w:rsidRPr="00F135BF">
        <w:rPr>
          <w:rFonts w:ascii="Calibri" w:hAnsi="Calibri" w:cs="Calibri"/>
          <w:sz w:val="22"/>
          <w:szCs w:val="22"/>
        </w:rPr>
        <w:t>Wykonawca zobowiązany jest do uzyskania, w imieniu i na rzecz Zamawiającego, praw do dysponowania nieruchomościami na cele budowlane oraz ich udostępnienia w celu budowy sieci i urządzeń energetycznych oraz ich późniejszej eksploatacji. W tym zakresie Wykonawca odpowiada za: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Calibri"/>
          <w:sz w:val="22"/>
          <w:szCs w:val="22"/>
        </w:rPr>
        <w:t xml:space="preserve">przeprowadzenie </w:t>
      </w:r>
      <w:r w:rsidRPr="00F135BF">
        <w:rPr>
          <w:rFonts w:ascii="Calibri" w:hAnsi="Calibri" w:cs="Arial"/>
          <w:sz w:val="22"/>
          <w:szCs w:val="22"/>
        </w:rPr>
        <w:t xml:space="preserve">negocjacji z właścicielami lub użytkownikami wieczystymi nieruchomości, których celem jest pozyskanie tytułu prawnego do nieruchomości lub –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w razie takiej konieczności - przeprowadzenie rokowań poprzedzających wszczęcie postępowania administracyjnego w przedmiocie ograniczenia sposobu korzystania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 xml:space="preserve">z nieruchomości na podstawy przepisów ustawy Ustawa z dnia 21 sierpnia 1997 r.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o gospodarce nieruchomościami (t.j. Dz. U. z 2024 r. poz. 1145),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przesyłu, w oparciu o wzór porozumienia udostępniony przez Zamawiającego, 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w przypadku braku uzgodnienia stanowiska  w toku negocjacji/rokowań – przeprowadzenie postępowań administracyjnych lub postępowań sądowych, w których celem jest pozyskanie trwałych tytułów do nieruchomości, gdy są one wymagane,</w:t>
      </w:r>
    </w:p>
    <w:p w:rsidR="00F135BF" w:rsidRPr="00F135BF" w:rsidRDefault="00F135BF" w:rsidP="00F135BF">
      <w:pPr>
        <w:pStyle w:val="Akapitzlist"/>
        <w:numPr>
          <w:ilvl w:val="0"/>
          <w:numId w:val="24"/>
        </w:numPr>
        <w:spacing w:before="0" w:after="0"/>
        <w:rPr>
          <w:rFonts w:ascii="Calibri" w:hAnsi="Calibri" w:cs="Calibri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zgromadzenie dokumentacji związanej z pozyskaniem tytułu prawnego do nieruchomości (w tym udokumentowanie przeprowadzonych negocjacji, kalkulacji dot. wysokości wynagrodzenia, zawartych we właściwej formie porozumień oraz umów).  </w:t>
      </w:r>
    </w:p>
    <w:p w:rsidR="00F135BF" w:rsidRPr="00F135BF" w:rsidRDefault="00F135BF" w:rsidP="00F135BF">
      <w:pPr>
        <w:ind w:left="720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lastRenderedPageBreak/>
        <w:t>Dla inwestycji z zakresu sieci SN i nN Zamawiający wymaga pozyskania: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>dla obiektów kubaturowych takich jak stacje SN/nN oraz złącza kablowe SN – trwałego tytułu do nieruchomości w postaci służebności przesyłu lub decyzji administracyjnie ograniczającej sposób korzystania z nieruchomości,</w:t>
      </w:r>
    </w:p>
    <w:p w:rsidR="00F135BF" w:rsidRPr="00F135BF" w:rsidRDefault="00F135BF" w:rsidP="00F135BF">
      <w:pPr>
        <w:numPr>
          <w:ilvl w:val="0"/>
          <w:numId w:val="23"/>
        </w:numPr>
        <w:spacing w:before="0" w:after="0"/>
        <w:ind w:left="1134" w:hanging="425"/>
        <w:rPr>
          <w:rFonts w:ascii="Calibri" w:hAnsi="Calibri" w:cs="Arial"/>
          <w:sz w:val="22"/>
          <w:szCs w:val="22"/>
        </w:rPr>
      </w:pPr>
      <w:r w:rsidRPr="00F135BF">
        <w:rPr>
          <w:rFonts w:ascii="Calibri" w:hAnsi="Calibri" w:cs="Arial"/>
          <w:sz w:val="22"/>
          <w:szCs w:val="22"/>
        </w:rPr>
        <w:t xml:space="preserve">dla obiektów liniowych SN i nN – trwałego tytułu do nieruchomości (j.w.) lub umowy </w:t>
      </w:r>
      <w:r>
        <w:rPr>
          <w:rFonts w:ascii="Calibri" w:hAnsi="Calibri" w:cs="Arial"/>
          <w:sz w:val="22"/>
          <w:szCs w:val="22"/>
        </w:rPr>
        <w:br/>
      </w:r>
      <w:r w:rsidRPr="00F135BF">
        <w:rPr>
          <w:rFonts w:ascii="Calibri" w:hAnsi="Calibri" w:cs="Arial"/>
          <w:sz w:val="22"/>
          <w:szCs w:val="22"/>
        </w:rPr>
        <w:t>z właścicielami/użytkownikami wieczystymi nieruchomości.</w:t>
      </w:r>
    </w:p>
    <w:p w:rsidR="00C2698E" w:rsidRPr="00D41BF7" w:rsidRDefault="00F135BF" w:rsidP="00F135BF">
      <w:pPr>
        <w:widowControl w:val="0"/>
        <w:ind w:left="357" w:firstLine="0"/>
        <w:outlineLvl w:val="3"/>
        <w:rPr>
          <w:rFonts w:asciiTheme="minorHAnsi" w:hAnsiTheme="minorHAnsi" w:cstheme="minorHAnsi"/>
          <w:sz w:val="22"/>
          <w:szCs w:val="22"/>
          <w:u w:val="single"/>
        </w:rPr>
      </w:pPr>
      <w:r w:rsidRPr="00F135BF">
        <w:rPr>
          <w:rFonts w:ascii="Calibri" w:hAnsi="Calibri" w:cs="Arial"/>
          <w:sz w:val="22"/>
          <w:szCs w:val="22"/>
        </w:rPr>
        <w:t xml:space="preserve">Szczegółowe zasady pozyskiwania tytułu prawnego do nieruchomości określają </w:t>
      </w:r>
      <w:r w:rsidRPr="00F135BF">
        <w:rPr>
          <w:rFonts w:ascii="Calibri" w:hAnsi="Calibri" w:cs="Arial"/>
          <w:i/>
          <w:sz w:val="22"/>
          <w:szCs w:val="22"/>
        </w:rPr>
        <w:t>Wytyczne dla opracowania dokumentacji projektowych w zakresie pozyskiwania tytułów prawnych do nieruchomości dla infrastruktury</w:t>
      </w:r>
      <w:r w:rsidRPr="00F135BF">
        <w:rPr>
          <w:rFonts w:ascii="Calibri" w:hAnsi="Calibri" w:cs="Arial"/>
          <w:sz w:val="22"/>
          <w:szCs w:val="22"/>
        </w:rPr>
        <w:t xml:space="preserve">, które stanowią załącznik do dokumentacji zakupowej. </w:t>
      </w:r>
      <w:r w:rsidR="00C2698E" w:rsidRPr="00D41B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1BDA" w:rsidRPr="00A71BDA" w:rsidRDefault="00A71BDA" w:rsidP="00A71BD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r w:rsidRPr="00A71BDA">
        <w:rPr>
          <w:rFonts w:ascii="Calibri" w:hAnsi="Calibri"/>
          <w:b/>
          <w:sz w:val="22"/>
        </w:rPr>
        <w:t xml:space="preserve">Forma dokumentacji projektowej </w:t>
      </w:r>
      <w:bookmarkEnd w:id="5"/>
    </w:p>
    <w:p w:rsidR="00A71BDA" w:rsidRP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Wszelką dokumentację należy sporządzić w języku polskim.</w:t>
      </w:r>
    </w:p>
    <w:p w:rsidR="00A71BDA" w:rsidRDefault="00A71BDA" w:rsidP="005776CB">
      <w:pPr>
        <w:widowControl w:val="0"/>
        <w:numPr>
          <w:ilvl w:val="0"/>
          <w:numId w:val="17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A71BDA">
        <w:rPr>
          <w:rFonts w:asciiTheme="minorHAnsi" w:hAnsiTheme="minorHAnsi" w:cstheme="minorHAnsi"/>
          <w:color w:val="000000" w:themeColor="text1"/>
          <w:sz w:val="22"/>
        </w:rPr>
        <w:t>Dokumentację projektową należy sporządzić w formie papierowej w ilości</w:t>
      </w:r>
      <w:r w:rsidR="002E275F">
        <w:rPr>
          <w:rFonts w:asciiTheme="minorHAnsi" w:hAnsiTheme="minorHAnsi" w:cstheme="minorHAnsi"/>
          <w:color w:val="000000" w:themeColor="text1"/>
          <w:sz w:val="22"/>
        </w:rPr>
        <w:t xml:space="preserve"> zgodnej z zapisami umowy, </w:t>
      </w:r>
      <w:r w:rsidR="002E275F" w:rsidRPr="002E275F">
        <w:rPr>
          <w:rFonts w:asciiTheme="minorHAnsi" w:hAnsiTheme="minorHAnsi" w:cstheme="minorHAnsi"/>
          <w:color w:val="000000" w:themeColor="text1"/>
          <w:sz w:val="22"/>
        </w:rPr>
        <w:t xml:space="preserve">której wzór jest załącznikiem do </w:t>
      </w:r>
      <w:r w:rsidR="00F15803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376C9B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C2698E" w:rsidRPr="00EC58AA" w:rsidRDefault="00C2698E" w:rsidP="005776CB">
      <w:pPr>
        <w:pStyle w:val="Styl1"/>
        <w:numPr>
          <w:ilvl w:val="0"/>
          <w:numId w:val="17"/>
        </w:numPr>
        <w:adjustRightInd/>
        <w:textAlignment w:val="auto"/>
        <w:outlineLvl w:val="3"/>
        <w:rPr>
          <w:rFonts w:asciiTheme="minorHAnsi" w:hAnsiTheme="minorHAnsi" w:cstheme="minorHAnsi"/>
          <w:b w:val="0"/>
        </w:rPr>
      </w:pPr>
      <w:r w:rsidRPr="00EC58AA">
        <w:rPr>
          <w:rFonts w:asciiTheme="minorHAnsi" w:hAnsiTheme="minorHAnsi" w:cstheme="minorHAnsi"/>
          <w:b w:val="0"/>
        </w:rPr>
        <w:t>W</w:t>
      </w:r>
      <w:r w:rsidRPr="00EC58AA">
        <w:rPr>
          <w:rFonts w:asciiTheme="minorHAnsi" w:hAnsiTheme="minorHAnsi" w:cstheme="minorHAnsi"/>
          <w:b w:val="0"/>
          <w:lang w:val="pl-PL"/>
        </w:rPr>
        <w:t xml:space="preserve"> </w:t>
      </w:r>
      <w:r w:rsidRPr="00EC58AA">
        <w:rPr>
          <w:rFonts w:asciiTheme="minorHAnsi" w:hAnsiTheme="minorHAnsi" w:cstheme="minorHAnsi"/>
          <w:b w:val="0"/>
        </w:rPr>
        <w:t xml:space="preserve">przekazanych dla Zamawiającego dokumentacjach winny znajdować się oryginały prawomocnych uzgodnień i decyzji wymaganych przepisami prawa oraz </w:t>
      </w:r>
      <w:r w:rsidRPr="00EC58AA">
        <w:rPr>
          <w:rFonts w:asciiTheme="minorHAnsi" w:eastAsia="SimSun" w:hAnsiTheme="minorHAnsi" w:cstheme="minorHAnsi"/>
          <w:b w:val="0"/>
        </w:rPr>
        <w:t>zgody (w formie odpowiednich dokumentów) właścicieli, użytkowników działek na których zlokalizowane są ww. urządzenia.</w:t>
      </w:r>
    </w:p>
    <w:p w:rsidR="001B67E1" w:rsidRDefault="001B67E1" w:rsidP="000D65D8">
      <w:pPr>
        <w:pStyle w:val="Nagwek1"/>
        <w:rPr>
          <w:lang w:val="pl-PL"/>
        </w:rPr>
      </w:pPr>
      <w:r w:rsidRPr="000D65D8">
        <w:rPr>
          <w:lang w:val="pl-PL"/>
        </w:rPr>
        <w:t>Wymagania techniczne:</w:t>
      </w:r>
    </w:p>
    <w:p w:rsidR="000D65D8" w:rsidRDefault="000D65D8" w:rsidP="00933BEE">
      <w:pPr>
        <w:pStyle w:val="Nagwek2"/>
        <w:rPr>
          <w:b/>
          <w:color w:val="auto"/>
        </w:rPr>
      </w:pPr>
      <w:r w:rsidRPr="000D65D8">
        <w:rPr>
          <w:b/>
          <w:color w:val="auto"/>
        </w:rPr>
        <w:t xml:space="preserve">Wymagania dla </w:t>
      </w:r>
      <w:r w:rsidRPr="000D65D8">
        <w:rPr>
          <w:b/>
          <w:color w:val="auto"/>
          <w:lang w:val="pl-PL"/>
        </w:rPr>
        <w:t>projektowanych urządzeń</w:t>
      </w:r>
      <w:r w:rsidRPr="000D65D8">
        <w:rPr>
          <w:b/>
          <w:color w:val="auto"/>
        </w:rPr>
        <w:t>:</w:t>
      </w:r>
    </w:p>
    <w:p w:rsidR="00112AF8" w:rsidRDefault="000D65D8" w:rsidP="000D65D8">
      <w:pPr>
        <w:ind w:left="357" w:firstLine="219"/>
        <w:rPr>
          <w:rFonts w:asciiTheme="minorHAnsi" w:hAnsiTheme="minorHAnsi" w:cstheme="minorHAnsi"/>
          <w:i/>
          <w:sz w:val="22"/>
          <w:szCs w:val="22"/>
          <w:lang w:eastAsia="x-none"/>
        </w:rPr>
      </w:pP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Parametry projektowanych urządzeń muszą być zgodne ze standardami przyjętymi w PGE</w:t>
      </w:r>
      <w:r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>D</w:t>
      </w:r>
      <w:r w:rsidR="00EA57A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ystrybucja. </w:t>
      </w:r>
      <w:r w:rsidRPr="000D65D8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Standardy te zostały określone w </w:t>
      </w:r>
      <w:r w:rsidRPr="000D65D8">
        <w:rPr>
          <w:rFonts w:asciiTheme="minorHAnsi" w:hAnsiTheme="minorHAnsi" w:cstheme="minorHAnsi"/>
          <w:i/>
          <w:sz w:val="22"/>
          <w:szCs w:val="22"/>
          <w:lang w:val="x-none" w:eastAsia="x-none"/>
        </w:rPr>
        <w:t>„Wytycznych do budowy systemów energetycznych w PGE Dystrybucja S.A.”</w:t>
      </w:r>
      <w:r>
        <w:rPr>
          <w:rFonts w:asciiTheme="minorHAnsi" w:hAnsiTheme="minorHAnsi" w:cstheme="minorHAnsi"/>
          <w:i/>
          <w:sz w:val="22"/>
          <w:szCs w:val="22"/>
          <w:lang w:eastAsia="x-none"/>
        </w:rPr>
        <w:t>.</w:t>
      </w:r>
    </w:p>
    <w:p w:rsidR="00AA13C3" w:rsidRDefault="00AA13C3" w:rsidP="00AA13C3">
      <w:pPr>
        <w:ind w:left="357" w:firstLine="219"/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Linia kablowa SN winna być zaprojektowana z żyłą powrotną miedzianą o przekroju 25 mm</w:t>
      </w:r>
      <w:r>
        <w:rPr>
          <w:rFonts w:asciiTheme="minorHAnsi" w:hAnsiTheme="minorHAnsi" w:cstheme="minorHAnsi"/>
          <w:color w:val="FF0000"/>
          <w:sz w:val="22"/>
          <w:szCs w:val="22"/>
          <w:vertAlign w:val="superscript"/>
          <w:lang w:val="x-none" w:eastAsia="x-none"/>
        </w:rPr>
        <w:t>2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,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co jest zgodne z treścią Wytycznych do budowy systemów elektroenergetycznych w PGE Dystrybucja S.A. w tomie pn. „Linie kablowe średniego napięcia – tom 4 – SUPLEMENT DO TOM 4”, o ile nie zachodzi szczególne uwarunkowanie techniczne do zastosowania większego przekroju opisane w „wytycznych” – tj. wyprowadzenie linii kablowej SN ze stacji WN/SN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odległości do 2km od stacji.</w:t>
      </w:r>
    </w:p>
    <w:p w:rsidR="00C2698E" w:rsidRPr="00AA13C3" w:rsidRDefault="00AA13C3" w:rsidP="00445C42">
      <w:pPr>
        <w:ind w:left="357" w:firstLine="219"/>
        <w:rPr>
          <w:rFonts w:asciiTheme="minorHAnsi" w:hAnsiTheme="minorHAnsi" w:cstheme="minorHAnsi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W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przypadku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gdy opracowanie dokumentacji projektowej obejmuje swym zakresem budowę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stacji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wnętrzowej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>SN/nN lub złącza SN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>,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lang w:eastAsia="x-none"/>
        </w:rPr>
        <w:t xml:space="preserve">wówczas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t xml:space="preserve">wyposażenie musi być zgodne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 xml:space="preserve">z treścią Wytycznych do budowy systemów elektroenergetycznych w PGE Dystrybucja S.A. </w:t>
      </w:r>
      <w:r>
        <w:rPr>
          <w:rFonts w:asciiTheme="minorHAnsi" w:hAnsiTheme="minorHAnsi" w:cstheme="minorHAnsi"/>
          <w:color w:val="FF0000"/>
          <w:sz w:val="22"/>
          <w:szCs w:val="22"/>
          <w:lang w:val="x-none" w:eastAsia="x-none"/>
        </w:rPr>
        <w:br/>
        <w:t>w tomie pn. „Standardy techniczne złączy kablowych SN w PGE Dystrybucja S.A.”, „Standardy techniczne stacji transformatorowych wnętrzowych SN/nN w PGE Dystrybucja S.A.”</w:t>
      </w:r>
    </w:p>
    <w:p w:rsidR="00B45067" w:rsidRPr="005578D4" w:rsidRDefault="002D0F48" w:rsidP="005578D4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48169F" w:rsidRPr="00F2598E" w:rsidRDefault="00112AF8" w:rsidP="00F2598E">
      <w:pPr>
        <w:pStyle w:val="Akapitzlist"/>
        <w:numPr>
          <w:ilvl w:val="0"/>
          <w:numId w:val="9"/>
        </w:numPr>
        <w:rPr>
          <w:rFonts w:ascii="Calibri" w:hAnsi="Calibri"/>
          <w:bCs/>
          <w:sz w:val="22"/>
          <w:szCs w:val="22"/>
          <w:lang w:val="x-none" w:eastAsia="x-none"/>
        </w:rPr>
      </w:pPr>
      <w:r w:rsidRPr="00112AF8">
        <w:rPr>
          <w:rFonts w:ascii="Calibri" w:hAnsi="Calibri"/>
          <w:bCs/>
          <w:sz w:val="22"/>
          <w:szCs w:val="22"/>
          <w:lang w:val="x-none" w:eastAsia="x-none"/>
        </w:rPr>
        <w:t xml:space="preserve">Maksymalny czas wyłączeń odbiorców dla całej realizacji nie będzie trwał, łącznie w całym okresie wykonywania, nie dłużej niż: </w:t>
      </w:r>
      <w:r w:rsidR="00940DE2">
        <w:rPr>
          <w:rFonts w:ascii="Calibri" w:hAnsi="Calibri"/>
          <w:b/>
          <w:bCs/>
          <w:sz w:val="22"/>
          <w:szCs w:val="22"/>
          <w:lang w:eastAsia="x-none"/>
        </w:rPr>
        <w:t>0</w:t>
      </w:r>
      <w:r w:rsidRPr="003B1B69">
        <w:rPr>
          <w:rFonts w:ascii="Calibri" w:hAnsi="Calibri"/>
          <w:b/>
          <w:bCs/>
          <w:sz w:val="22"/>
          <w:szCs w:val="22"/>
          <w:lang w:val="x-none" w:eastAsia="x-none"/>
        </w:rPr>
        <w:t xml:space="preserve"> godzin</w:t>
      </w:r>
      <w:r w:rsidR="00F8795A">
        <w:rPr>
          <w:rFonts w:ascii="Calibri" w:hAnsi="Calibri"/>
          <w:b/>
          <w:bCs/>
          <w:sz w:val="22"/>
          <w:szCs w:val="22"/>
          <w:lang w:eastAsia="x-none"/>
        </w:rPr>
        <w:t>y</w:t>
      </w:r>
      <w:r w:rsidR="00940DE2">
        <w:rPr>
          <w:rFonts w:ascii="Calibri" w:hAnsi="Calibri"/>
          <w:b/>
          <w:bCs/>
          <w:sz w:val="22"/>
          <w:szCs w:val="22"/>
          <w:lang w:eastAsia="x-none"/>
        </w:rPr>
        <w:t xml:space="preserve"> – PPN podłączenie będzie realizowane przez pracowników OŁD</w:t>
      </w:r>
    </w:p>
    <w:p w:rsidR="001929AC" w:rsidRPr="00EC58AA" w:rsidRDefault="001929AC" w:rsidP="005776CB">
      <w:pPr>
        <w:pStyle w:val="Styl2"/>
        <w:numPr>
          <w:ilvl w:val="0"/>
          <w:numId w:val="9"/>
        </w:numPr>
      </w:pPr>
      <w:r w:rsidRPr="00EC58AA">
        <w:t xml:space="preserve">Zamawiający zobowiązuje Wykonawcę </w:t>
      </w:r>
      <w:r w:rsidRPr="00EC58AA">
        <w:rPr>
          <w:lang w:val="pl-PL"/>
        </w:rPr>
        <w:t>do złożenia</w:t>
      </w:r>
      <w:r w:rsidRPr="00EC58AA">
        <w:t xml:space="preserve"> w terminie </w:t>
      </w:r>
      <w:r w:rsidRPr="00EC58AA">
        <w:rPr>
          <w:lang w:val="pl-PL"/>
        </w:rPr>
        <w:t>10</w:t>
      </w:r>
      <w:r w:rsidRPr="00EC58AA">
        <w:t xml:space="preserve"> dni od momentu zawarcia umowy zgłoszenia i uzgodnienia Harmonogramu planowanych wyłączeń zgodnego ze złożoną ofertą (załączni</w:t>
      </w:r>
      <w:r w:rsidR="006C4C38">
        <w:t>k nr 1 do umowy)  i warunkami S</w:t>
      </w:r>
      <w:r w:rsidRPr="00EC58AA">
        <w:t>WZ</w:t>
      </w:r>
      <w:r w:rsidRPr="00EC58AA">
        <w:rPr>
          <w:lang w:val="pl-PL"/>
        </w:rPr>
        <w:t>, jednak nie później niż w terminie 21 dni przed planowanym terminem wyłączenia</w:t>
      </w:r>
      <w:r w:rsidRPr="00EC58AA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EC58AA">
        <w:rPr>
          <w:lang w:val="pl-PL"/>
        </w:rPr>
        <w:t>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rPr>
          <w:lang w:val="pl-PL"/>
        </w:rPr>
        <w:t>Zamawiający zobowiązuje Wykonawcę do planowania i realizowania robót budowlano-</w:t>
      </w:r>
      <w:r w:rsidRPr="00F93F1D">
        <w:rPr>
          <w:lang w:val="pl-PL"/>
        </w:rPr>
        <w:lastRenderedPageBreak/>
        <w:t>montażowych w sieci nN objętych dokumentacją projektową, w sposób maksymalnie wykorzystujący technologie prac pod napięciem w sieci i przy urządzeniach nN. Prace winny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>i wykonywania prac pod napięciem w sieci dystrybucyjnej o napięciu do 1 kV w PGE Dystrybucja S.A”.</w:t>
      </w:r>
    </w:p>
    <w:p w:rsidR="00920C89" w:rsidRPr="00F93F1D" w:rsidRDefault="00920C89" w:rsidP="005776CB">
      <w:pPr>
        <w:pStyle w:val="Styl2"/>
        <w:numPr>
          <w:ilvl w:val="0"/>
          <w:numId w:val="9"/>
        </w:numPr>
      </w:pPr>
      <w:r w:rsidRPr="00F93F1D">
        <w:t>Zamawiający zobowiązuje wykonawcę do organizacji prac z wykorzystaniem systemu samod</w:t>
      </w:r>
      <w:r>
        <w:rPr>
          <w:lang w:val="pl-PL"/>
        </w:rPr>
        <w:t>o</w:t>
      </w:r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Pr="0045757A">
        <w:t xml:space="preserve">„Instrukcji </w:t>
      </w:r>
      <w:r w:rsidRPr="0045757A">
        <w:rPr>
          <w:lang w:val="pl-PL"/>
        </w:rPr>
        <w:t>prowadzenia prac przez firmy zewnętrzne w systemie samodopuszczeń w sieci PGE Dystrybucja S.A</w:t>
      </w:r>
      <w:r w:rsidR="0074541C">
        <w:rPr>
          <w:lang w:val="pl-PL"/>
        </w:rPr>
        <w:t>. w Oddział Łódź</w:t>
      </w:r>
      <w:r w:rsidRPr="0045757A">
        <w:t>”</w:t>
      </w:r>
    </w:p>
    <w:p w:rsidR="00920C89" w:rsidRPr="00201B52" w:rsidRDefault="00920C89" w:rsidP="005776CB">
      <w:pPr>
        <w:pStyle w:val="Styl2"/>
        <w:numPr>
          <w:ilvl w:val="0"/>
          <w:numId w:val="9"/>
        </w:numPr>
        <w:rPr>
          <w:rStyle w:val="Odwoaniedokomentarza"/>
          <w:color w:val="000000" w:themeColor="text1"/>
          <w:sz w:val="22"/>
          <w:szCs w:val="22"/>
        </w:rPr>
      </w:pPr>
      <w:r w:rsidRPr="00201B52">
        <w:t>Wykonawca zapewnia prowadzenie prac na placu budowy pod nadzorem kierownika budowy wykonywanym w sposób ciągły</w:t>
      </w:r>
      <w:r>
        <w:rPr>
          <w:lang w:val="pl-PL"/>
        </w:rPr>
        <w:t>.</w:t>
      </w:r>
    </w:p>
    <w:p w:rsidR="0084499D" w:rsidRPr="0084499D" w:rsidRDefault="00920C89" w:rsidP="005776CB">
      <w:pPr>
        <w:pStyle w:val="Styl2"/>
        <w:numPr>
          <w:ilvl w:val="0"/>
          <w:numId w:val="9"/>
        </w:numPr>
      </w:pPr>
      <w:r>
        <w:rPr>
          <w:lang w:val="pl-PL"/>
        </w:rPr>
        <w:t xml:space="preserve">Na Wykonawcy spoczywa </w:t>
      </w:r>
      <w:r w:rsidRPr="0084499D">
        <w:t xml:space="preserve">obowiązek zakupu dziennika budowy i przekazania go do </w:t>
      </w:r>
      <w:r>
        <w:rPr>
          <w:lang w:val="pl-PL"/>
        </w:rPr>
        <w:t>Zamawiającego</w:t>
      </w:r>
      <w:r w:rsidR="003E1EC7">
        <w:rPr>
          <w:lang w:val="pl-PL"/>
        </w:rPr>
        <w:t xml:space="preserve"> </w:t>
      </w:r>
      <w:r w:rsidR="003E1EC7">
        <w:t>– jeżeli przedmiot prac tego wymaga</w:t>
      </w:r>
      <w:r w:rsidR="006E6D32">
        <w:rPr>
          <w:lang w:val="pl-PL"/>
        </w:rPr>
        <w:t>.</w:t>
      </w:r>
    </w:p>
    <w:p w:rsidR="0084499D" w:rsidRPr="00A31124" w:rsidRDefault="0084499D" w:rsidP="005776CB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>
        <w:rPr>
          <w:lang w:val="pl-PL"/>
        </w:rPr>
        <w:t>.</w:t>
      </w:r>
    </w:p>
    <w:p w:rsidR="00A218DE" w:rsidRPr="008951CE" w:rsidRDefault="00A218DE" w:rsidP="005776CB">
      <w:pPr>
        <w:pStyle w:val="Styl2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Osoby wykonując</w:t>
      </w:r>
      <w:r>
        <w:rPr>
          <w:rFonts w:asciiTheme="minorHAnsi" w:hAnsiTheme="minorHAnsi"/>
          <w:lang w:val="pl-PL"/>
        </w:rPr>
        <w:t>e</w:t>
      </w:r>
      <w:r w:rsidRPr="008951CE">
        <w:rPr>
          <w:rFonts w:asciiTheme="minorHAnsi" w:hAnsiTheme="minorHAnsi"/>
        </w:rPr>
        <w:t xml:space="preserve"> prace przy urządzeniach elektroenergetycznych eksploatowanych przez PG</w:t>
      </w:r>
      <w:r>
        <w:rPr>
          <w:rFonts w:asciiTheme="minorHAnsi" w:hAnsiTheme="minorHAnsi"/>
        </w:rPr>
        <w:t>E Dystrybucja S.A. Oddział Łódź</w:t>
      </w:r>
      <w:r w:rsidRPr="008951CE">
        <w:rPr>
          <w:rFonts w:asciiTheme="minorHAnsi" w:hAnsiTheme="minorHAnsi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Pr="00E91CEB">
        <w:rPr>
          <w:rFonts w:asciiTheme="minorHAnsi" w:hAnsiTheme="minorHAnsi"/>
        </w:rPr>
        <w:t xml:space="preserve">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</w:t>
      </w:r>
      <w:r w:rsidRPr="0025697C">
        <w:rPr>
          <w:rFonts w:asciiTheme="minorHAnsi" w:hAnsiTheme="minorHAnsi"/>
        </w:rPr>
        <w:t>oraz „Zasadach prowadzenia prac przy budowie lub przebudowie stacji i linii elektroenergetycznych”</w:t>
      </w:r>
      <w:r w:rsidRPr="00E91CEB">
        <w:rPr>
          <w:rFonts w:asciiTheme="minorHAnsi" w:hAnsiTheme="minorHAnsi"/>
        </w:rPr>
        <w:t xml:space="preserve"> dostępnych na stronie internetowej Zamawiającego </w:t>
      </w:r>
      <w:hyperlink r:id="rId13" w:history="1">
        <w:r w:rsidR="0095007B" w:rsidRPr="00EB30A9">
          <w:rPr>
            <w:rStyle w:val="Hipercze"/>
            <w:rFonts w:asciiTheme="minorHAnsi" w:hAnsiTheme="minorHAnsi"/>
          </w:rPr>
          <w:t>http://pgedystrybucja.pl/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strefa</w:t>
        </w:r>
        <w:r w:rsidR="0095007B" w:rsidRPr="00EB30A9">
          <w:rPr>
            <w:rStyle w:val="Hipercze"/>
            <w:rFonts w:asciiTheme="minorHAnsi" w:hAnsiTheme="minorHAnsi"/>
          </w:rPr>
          <w:t>-klienta/</w:t>
        </w:r>
        <w:r w:rsidR="0095007B" w:rsidRPr="00EB30A9">
          <w:rPr>
            <w:rStyle w:val="Hipercze"/>
            <w:rFonts w:asciiTheme="minorHAnsi" w:hAnsiTheme="minorHAnsi"/>
            <w:lang w:val="pl-PL"/>
          </w:rPr>
          <w:t>p</w:t>
        </w:r>
        <w:r w:rsidR="0095007B" w:rsidRPr="00EB30A9">
          <w:rPr>
            <w:rStyle w:val="Hipercze"/>
            <w:rFonts w:asciiTheme="minorHAnsi" w:hAnsiTheme="minorHAnsi"/>
          </w:rPr>
          <w:t>rzydatne-dokumenty</w:t>
        </w:r>
      </w:hyperlink>
      <w:r>
        <w:rPr>
          <w:rFonts w:asciiTheme="minorHAnsi" w:hAnsiTheme="minorHAnsi"/>
          <w:lang w:val="pl-PL"/>
        </w:rPr>
        <w:t xml:space="preserve"> </w:t>
      </w:r>
    </w:p>
    <w:p w:rsidR="002D0F48" w:rsidRPr="00590219" w:rsidRDefault="002D0F48" w:rsidP="005E20B5">
      <w:pPr>
        <w:pStyle w:val="Nagwek2"/>
        <w:ind w:left="578" w:hanging="578"/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32137D" w:rsidRPr="00EA57A9">
        <w:rPr>
          <w:bCs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14" w:history="1">
        <w:r w:rsidR="0095007B" w:rsidRPr="00EB30A9">
          <w:rPr>
            <w:rStyle w:val="Hipercze"/>
          </w:rPr>
          <w:t>http://www.pgedystrybucja.pl/</w:t>
        </w:r>
        <w:r w:rsidR="0095007B" w:rsidRPr="00EB30A9">
          <w:rPr>
            <w:rStyle w:val="Hipercze"/>
            <w:lang w:val="pl-PL"/>
          </w:rPr>
          <w:t>strefa</w:t>
        </w:r>
        <w:r w:rsidR="0095007B" w:rsidRPr="00EB30A9">
          <w:rPr>
            <w:rStyle w:val="Hipercze"/>
          </w:rPr>
          <w:t>-klienta/przydatne-dokumenty</w:t>
        </w:r>
      </w:hyperlink>
      <w:r w:rsidR="005F0EE1">
        <w:rPr>
          <w:lang w:val="pl-PL"/>
        </w:rPr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6C4C38">
        <w:rPr>
          <w:lang w:val="pl-PL"/>
        </w:rPr>
        <w:t xml:space="preserve"> </w:t>
      </w:r>
      <w:r w:rsidR="000C4FFF">
        <w:rPr>
          <w:lang w:val="pl-PL"/>
        </w:rPr>
        <w:t xml:space="preserve">do </w:t>
      </w:r>
      <w:r w:rsidR="00F15803">
        <w:rPr>
          <w:i/>
          <w:lang w:val="pl-PL"/>
        </w:rPr>
        <w:t>S</w:t>
      </w:r>
      <w:r w:rsidR="00376C9B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730F4D">
      <w:pPr>
        <w:pStyle w:val="Nagwek2"/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powinna zawierać w szczególności: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Dokumentację projektową (projekt budowlany i projekt wykonawczy)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>Protokoły z przeprowadzonych pomiarów.</w:t>
      </w:r>
    </w:p>
    <w:p w:rsidR="00D41BF7" w:rsidRDefault="00D41BF7" w:rsidP="00D41BF7">
      <w:pPr>
        <w:pStyle w:val="Styl2"/>
        <w:numPr>
          <w:ilvl w:val="0"/>
          <w:numId w:val="8"/>
        </w:numPr>
      </w:pPr>
      <w: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:rsidR="002D0F48" w:rsidRPr="00590219" w:rsidRDefault="00D41BF7" w:rsidP="00D41BF7">
      <w:pPr>
        <w:pStyle w:val="Styl2"/>
        <w:numPr>
          <w:ilvl w:val="0"/>
          <w:numId w:val="8"/>
        </w:numPr>
      </w:pPr>
      <w:r>
        <w:t xml:space="preserve">Dokumentacja projektowa i powykonawcza przebiegu sieci wraz z atrybutami </w:t>
      </w:r>
      <w:r>
        <w:lastRenderedPageBreak/>
        <w:t>zinwentaryzowanych elementów stanowi integralną część dokumentacji i wymagana jest w plikach wektorowych z rozszerzeniem .shp dla inwentaryzowanych warstw w układach 2000 (pas 6,7), 1992(m), 1965 (strefa_1).</w:t>
      </w:r>
    </w:p>
    <w:p w:rsidR="002D0F48" w:rsidRPr="007E76DD" w:rsidRDefault="002D0F48" w:rsidP="005113AF">
      <w:pPr>
        <w:pStyle w:val="Styl2"/>
        <w:numPr>
          <w:ilvl w:val="0"/>
          <w:numId w:val="8"/>
        </w:numPr>
      </w:pPr>
      <w:r w:rsidRPr="00590219">
        <w:t xml:space="preserve">Kompletną dokumentację prawno - uzgodnieniową z oryginałami prawomocnych uzgodnień i decyzji wymaganych przepisami prawa. </w:t>
      </w:r>
    </w:p>
    <w:p w:rsidR="007E76DD" w:rsidRPr="007E76DD" w:rsidRDefault="007E76DD" w:rsidP="007E76DD">
      <w:pPr>
        <w:pStyle w:val="Styl2"/>
        <w:numPr>
          <w:ilvl w:val="0"/>
          <w:numId w:val="8"/>
        </w:numPr>
      </w:pPr>
      <w:r w:rsidRPr="007E76DD">
        <w:t>Dziennik Budowy (o ile jest wymagany przepisami)</w:t>
      </w:r>
    </w:p>
    <w:p w:rsidR="007E76DD" w:rsidRPr="000345BB" w:rsidRDefault="00FA1A2A" w:rsidP="007E76DD">
      <w:pPr>
        <w:pStyle w:val="Styl2"/>
        <w:numPr>
          <w:ilvl w:val="0"/>
          <w:numId w:val="8"/>
        </w:numPr>
      </w:pPr>
      <w:r>
        <w:rPr>
          <w:lang w:val="pl-PL"/>
        </w:rPr>
        <w:t>D</w:t>
      </w:r>
      <w:r w:rsidR="007E76DD" w:rsidRPr="007E76DD">
        <w:t>okumenty dotyczące wyrobów budowlanych (materiałów i urządzeń) wbudowanych w obiekt potwierdzających ich projektowane właściwości użytkowe, charakterystyki techniczne i świadczące o legalnym wprowadzeniu ich do obrotu</w:t>
      </w:r>
    </w:p>
    <w:p w:rsidR="00E2494B" w:rsidRPr="005B48F6" w:rsidRDefault="000345BB" w:rsidP="005B48F6">
      <w:pPr>
        <w:pStyle w:val="Styl2"/>
        <w:numPr>
          <w:ilvl w:val="0"/>
          <w:numId w:val="8"/>
        </w:numPr>
      </w:pPr>
      <w:r w:rsidRPr="007F5459">
        <w:t xml:space="preserve">Wykaz nowych przyporządkowań odbiorców do stacji po podziale sieci wraz </w:t>
      </w:r>
      <w:r w:rsidR="000C4FFF">
        <w:rPr>
          <w:lang w:val="pl-PL"/>
        </w:rPr>
        <w:br/>
      </w:r>
      <w:r w:rsidRPr="007F5459">
        <w:t>z ewentualnymi zmianami sposobu ich zasilania</w:t>
      </w:r>
    </w:p>
    <w:p w:rsidR="00A87F37" w:rsidRPr="00A87F37" w:rsidRDefault="00A87F37" w:rsidP="00A87F37">
      <w:pPr>
        <w:pStyle w:val="Akapitzlist"/>
        <w:ind w:left="1080" w:firstLine="0"/>
        <w:rPr>
          <w:rFonts w:asciiTheme="minorHAnsi" w:hAnsiTheme="minorHAnsi" w:cstheme="minorHAnsi"/>
          <w:b/>
          <w:u w:val="single"/>
          <w:lang w:eastAsia="x-none"/>
        </w:rPr>
      </w:pPr>
      <w:r w:rsidRPr="00A87F37">
        <w:rPr>
          <w:rFonts w:asciiTheme="minorHAnsi" w:hAnsiTheme="minorHAnsi" w:cstheme="minorHAnsi"/>
          <w:b/>
          <w:u w:val="single"/>
          <w:lang w:eastAsia="x-none"/>
        </w:rPr>
        <w:t>Załączniki:</w:t>
      </w:r>
    </w:p>
    <w:p w:rsidR="000105D7" w:rsidRPr="004D3A15" w:rsidRDefault="00C82CC9" w:rsidP="00C82CC9">
      <w:pPr>
        <w:pStyle w:val="Akapitzlist"/>
        <w:numPr>
          <w:ilvl w:val="0"/>
          <w:numId w:val="21"/>
        </w:numPr>
        <w:rPr>
          <w:rFonts w:asciiTheme="minorHAnsi" w:hAnsiTheme="minorHAnsi"/>
          <w:lang w:eastAsia="x-none"/>
        </w:rPr>
      </w:pPr>
      <w:r w:rsidRPr="00C82CC9">
        <w:rPr>
          <w:rFonts w:asciiTheme="minorHAnsi" w:hAnsiTheme="minorHAnsi"/>
          <w:lang w:eastAsia="x-none"/>
        </w:rPr>
        <w:t>Warunki przyłączenia dla zadania</w:t>
      </w:r>
      <w:r w:rsidR="000105D7">
        <w:rPr>
          <w:rFonts w:asciiTheme="minorHAnsi" w:hAnsiTheme="minorHAnsi"/>
          <w:lang w:eastAsia="x-none"/>
        </w:rPr>
        <w:t xml:space="preserve">. </w:t>
      </w:r>
    </w:p>
    <w:p w:rsidR="00A87F37" w:rsidRDefault="00A87F37" w:rsidP="00A87F37">
      <w:pPr>
        <w:pStyle w:val="Akapitzlist"/>
        <w:ind w:left="1080" w:firstLine="0"/>
        <w:rPr>
          <w:rFonts w:asciiTheme="minorHAnsi" w:hAnsiTheme="minorHAnsi"/>
          <w:lang w:eastAsia="x-none"/>
        </w:rPr>
      </w:pPr>
    </w:p>
    <w:p w:rsidR="00A076B3" w:rsidRPr="005C400D" w:rsidRDefault="00A076B3" w:rsidP="005C400D">
      <w:pPr>
        <w:ind w:left="0" w:firstLine="0"/>
      </w:pPr>
    </w:p>
    <w:sectPr w:rsidR="00A076B3" w:rsidRPr="005C400D" w:rsidSect="00EA6F0C">
      <w:headerReference w:type="default" r:id="rId15"/>
      <w:footerReference w:type="default" r:id="rId16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B3" w:rsidRDefault="00252AB3">
      <w:r>
        <w:separator/>
      </w:r>
    </w:p>
  </w:endnote>
  <w:endnote w:type="continuationSeparator" w:id="0">
    <w:p w:rsidR="00252AB3" w:rsidRDefault="0025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00" w:rsidRDefault="001E1B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75785">
      <w:rPr>
        <w:noProof/>
      </w:rPr>
      <w:t>1</w:t>
    </w:r>
    <w:r>
      <w:fldChar w:fldCharType="end"/>
    </w:r>
  </w:p>
  <w:p w:rsidR="001E1B00" w:rsidRDefault="001E1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B3" w:rsidRDefault="00252AB3">
      <w:r>
        <w:separator/>
      </w:r>
    </w:p>
  </w:footnote>
  <w:footnote w:type="continuationSeparator" w:id="0">
    <w:p w:rsidR="00252AB3" w:rsidRDefault="0025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1C" w:rsidRDefault="00C41EFA" w:rsidP="0074541C">
    <w:pPr>
      <w:pStyle w:val="Zanag2"/>
      <w:ind w:left="709"/>
      <w:rPr>
        <w:rFonts w:ascii="Calibri" w:hAnsi="Calibri" w:cs="Calibri"/>
        <w:sz w:val="24"/>
      </w:rPr>
    </w:pPr>
    <w:r w:rsidRPr="00C41EFA">
      <w:rPr>
        <w:rFonts w:ascii="Calibri" w:hAnsi="Calibri" w:cs="Calibri"/>
        <w:sz w:val="24"/>
      </w:rPr>
      <w:t>Załącznik nr 1.7 do SWZ – Specyfikacja Techniczna</w:t>
    </w:r>
    <w:r w:rsidR="00875785">
      <w:rPr>
        <w:rFonts w:ascii="Calibri" w:hAnsi="Calibri" w:cs="Calibri"/>
        <w:sz w:val="24"/>
      </w:rPr>
      <w:t xml:space="preserve"> dla cz. 1</w:t>
    </w:r>
  </w:p>
  <w:p w:rsidR="00875785" w:rsidRPr="008222A2" w:rsidRDefault="00875785" w:rsidP="0074541C">
    <w:pPr>
      <w:pStyle w:val="Zanag2"/>
      <w:ind w:left="709"/>
      <w:rPr>
        <w:rFonts w:ascii="Calibri" w:hAnsi="Calibri" w:cs="Calibri"/>
        <w:caps w:val="0"/>
        <w:sz w:val="24"/>
      </w:rPr>
    </w:pPr>
    <w:r w:rsidRPr="00875785">
      <w:rPr>
        <w:rFonts w:ascii="Calibri" w:hAnsi="Calibri" w:cs="Calibri"/>
        <w:caps w:val="0"/>
        <w:sz w:val="24"/>
      </w:rPr>
      <w:t>POST/DYS/OLD/GZ/00383/2025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FC0BE7"/>
    <w:multiLevelType w:val="hybridMultilevel"/>
    <w:tmpl w:val="149CF916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49A6C336">
      <w:start w:val="1"/>
      <w:numFmt w:val="lowerLetter"/>
      <w:lvlText w:val="%4)"/>
      <w:lvlJc w:val="left"/>
      <w:pPr>
        <w:ind w:left="262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392E699E"/>
    <w:multiLevelType w:val="hybridMultilevel"/>
    <w:tmpl w:val="EDBCC2D0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B9C6DB9"/>
    <w:multiLevelType w:val="hybridMultilevel"/>
    <w:tmpl w:val="3A52E74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50550559"/>
    <w:multiLevelType w:val="hybridMultilevel"/>
    <w:tmpl w:val="BB1CC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0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9"/>
  </w:num>
  <w:num w:numId="2">
    <w:abstractNumId w:val="62"/>
  </w:num>
  <w:num w:numId="3">
    <w:abstractNumId w:val="66"/>
  </w:num>
  <w:num w:numId="4">
    <w:abstractNumId w:val="70"/>
  </w:num>
  <w:num w:numId="5">
    <w:abstractNumId w:val="60"/>
  </w:num>
  <w:num w:numId="6">
    <w:abstractNumId w:val="67"/>
  </w:num>
  <w:num w:numId="7">
    <w:abstractNumId w:val="75"/>
  </w:num>
  <w:num w:numId="8">
    <w:abstractNumId w:val="73"/>
  </w:num>
  <w:num w:numId="9">
    <w:abstractNumId w:val="72"/>
  </w:num>
  <w:num w:numId="10">
    <w:abstractNumId w:val="53"/>
  </w:num>
  <w:num w:numId="11">
    <w:abstractNumId w:val="54"/>
  </w:num>
  <w:num w:numId="12">
    <w:abstractNumId w:val="68"/>
  </w:num>
  <w:num w:numId="13">
    <w:abstractNumId w:val="56"/>
  </w:num>
  <w:num w:numId="14">
    <w:abstractNumId w:val="61"/>
  </w:num>
  <w:num w:numId="15">
    <w:abstractNumId w:val="58"/>
  </w:num>
  <w:num w:numId="16">
    <w:abstractNumId w:val="55"/>
  </w:num>
  <w:num w:numId="17">
    <w:abstractNumId w:val="71"/>
  </w:num>
  <w:num w:numId="18">
    <w:abstractNumId w:val="59"/>
  </w:num>
  <w:num w:numId="19">
    <w:abstractNumId w:val="63"/>
  </w:num>
  <w:num w:numId="20">
    <w:abstractNumId w:val="53"/>
    <w:lvlOverride w:ilvl="0">
      <w:startOverride w:val="1"/>
    </w:lvlOverride>
  </w:num>
  <w:num w:numId="21">
    <w:abstractNumId w:val="64"/>
  </w:num>
  <w:num w:numId="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5D7"/>
    <w:rsid w:val="00010BFC"/>
    <w:rsid w:val="0001386E"/>
    <w:rsid w:val="0001411A"/>
    <w:rsid w:val="00015E1D"/>
    <w:rsid w:val="00015E5C"/>
    <w:rsid w:val="00016203"/>
    <w:rsid w:val="00017A9B"/>
    <w:rsid w:val="00020664"/>
    <w:rsid w:val="0002095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191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7019"/>
    <w:rsid w:val="00057844"/>
    <w:rsid w:val="00061416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D65D8"/>
    <w:rsid w:val="000E0622"/>
    <w:rsid w:val="000E10F7"/>
    <w:rsid w:val="000E167C"/>
    <w:rsid w:val="000E533B"/>
    <w:rsid w:val="000E54BC"/>
    <w:rsid w:val="000E59AA"/>
    <w:rsid w:val="000E6B23"/>
    <w:rsid w:val="000F0758"/>
    <w:rsid w:val="000F229D"/>
    <w:rsid w:val="000F2470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FF2"/>
    <w:rsid w:val="00110645"/>
    <w:rsid w:val="001106A0"/>
    <w:rsid w:val="0011070F"/>
    <w:rsid w:val="00111CBF"/>
    <w:rsid w:val="00112981"/>
    <w:rsid w:val="00112AF8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2F6C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EBE"/>
    <w:rsid w:val="00190368"/>
    <w:rsid w:val="00190EB6"/>
    <w:rsid w:val="00192629"/>
    <w:rsid w:val="001929AC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ACC"/>
    <w:rsid w:val="001B1997"/>
    <w:rsid w:val="001B1F1F"/>
    <w:rsid w:val="001B392A"/>
    <w:rsid w:val="001B46CD"/>
    <w:rsid w:val="001B56DF"/>
    <w:rsid w:val="001B6631"/>
    <w:rsid w:val="001B67E1"/>
    <w:rsid w:val="001C064E"/>
    <w:rsid w:val="001C0C64"/>
    <w:rsid w:val="001C15AF"/>
    <w:rsid w:val="001C16B1"/>
    <w:rsid w:val="001C1C63"/>
    <w:rsid w:val="001C1F65"/>
    <w:rsid w:val="001C367D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A2D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35E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5FC"/>
    <w:rsid w:val="0025287B"/>
    <w:rsid w:val="00252AB3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541F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B5089"/>
    <w:rsid w:val="002B764B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5A0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092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6C34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3CF0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CDF"/>
    <w:rsid w:val="003656B2"/>
    <w:rsid w:val="00365E56"/>
    <w:rsid w:val="0037066F"/>
    <w:rsid w:val="003706E0"/>
    <w:rsid w:val="00371B9A"/>
    <w:rsid w:val="00373168"/>
    <w:rsid w:val="003734DF"/>
    <w:rsid w:val="00376C9B"/>
    <w:rsid w:val="0037717E"/>
    <w:rsid w:val="00377B0E"/>
    <w:rsid w:val="00380192"/>
    <w:rsid w:val="0038147A"/>
    <w:rsid w:val="00382581"/>
    <w:rsid w:val="00382A09"/>
    <w:rsid w:val="003841CF"/>
    <w:rsid w:val="0038475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97F2E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1B69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EC7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09B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0045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C42"/>
    <w:rsid w:val="004466B2"/>
    <w:rsid w:val="004469AA"/>
    <w:rsid w:val="00447BFA"/>
    <w:rsid w:val="004514A3"/>
    <w:rsid w:val="004520EE"/>
    <w:rsid w:val="00452B27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69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7E9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A25"/>
    <w:rsid w:val="004F721F"/>
    <w:rsid w:val="0050005F"/>
    <w:rsid w:val="005012B8"/>
    <w:rsid w:val="00502E75"/>
    <w:rsid w:val="005033DB"/>
    <w:rsid w:val="005039EF"/>
    <w:rsid w:val="00503B90"/>
    <w:rsid w:val="00503CA4"/>
    <w:rsid w:val="0050766D"/>
    <w:rsid w:val="00510220"/>
    <w:rsid w:val="005113AF"/>
    <w:rsid w:val="005121D9"/>
    <w:rsid w:val="005126E6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862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1E4"/>
    <w:rsid w:val="005578D4"/>
    <w:rsid w:val="0056142F"/>
    <w:rsid w:val="00561F74"/>
    <w:rsid w:val="0056224E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6CB"/>
    <w:rsid w:val="00577790"/>
    <w:rsid w:val="00580038"/>
    <w:rsid w:val="00581800"/>
    <w:rsid w:val="00582314"/>
    <w:rsid w:val="005826C7"/>
    <w:rsid w:val="005835FD"/>
    <w:rsid w:val="0058463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452"/>
    <w:rsid w:val="005A5A98"/>
    <w:rsid w:val="005A5C34"/>
    <w:rsid w:val="005A5C3D"/>
    <w:rsid w:val="005A6D0D"/>
    <w:rsid w:val="005B11A5"/>
    <w:rsid w:val="005B12D7"/>
    <w:rsid w:val="005B1C72"/>
    <w:rsid w:val="005B1E82"/>
    <w:rsid w:val="005B26BD"/>
    <w:rsid w:val="005B48F6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4E9"/>
    <w:rsid w:val="005D1637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0EE1"/>
    <w:rsid w:val="005F1036"/>
    <w:rsid w:val="005F148F"/>
    <w:rsid w:val="005F14E8"/>
    <w:rsid w:val="005F1DEB"/>
    <w:rsid w:val="005F21BD"/>
    <w:rsid w:val="005F3B88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06333"/>
    <w:rsid w:val="00610D0A"/>
    <w:rsid w:val="006129F9"/>
    <w:rsid w:val="00613256"/>
    <w:rsid w:val="00615F2A"/>
    <w:rsid w:val="00616F0D"/>
    <w:rsid w:val="006172BD"/>
    <w:rsid w:val="00617EAD"/>
    <w:rsid w:val="00620717"/>
    <w:rsid w:val="00620B0B"/>
    <w:rsid w:val="006219F1"/>
    <w:rsid w:val="00622307"/>
    <w:rsid w:val="006250E1"/>
    <w:rsid w:val="00630915"/>
    <w:rsid w:val="00631284"/>
    <w:rsid w:val="0063133B"/>
    <w:rsid w:val="00631CF3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04E"/>
    <w:rsid w:val="00657A78"/>
    <w:rsid w:val="00657FDC"/>
    <w:rsid w:val="00660C21"/>
    <w:rsid w:val="0066276A"/>
    <w:rsid w:val="0066538B"/>
    <w:rsid w:val="0066648C"/>
    <w:rsid w:val="00666C6F"/>
    <w:rsid w:val="00666F33"/>
    <w:rsid w:val="00667163"/>
    <w:rsid w:val="00667ED9"/>
    <w:rsid w:val="00670E6E"/>
    <w:rsid w:val="00671AF1"/>
    <w:rsid w:val="00672EE5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6F66"/>
    <w:rsid w:val="00697425"/>
    <w:rsid w:val="00697777"/>
    <w:rsid w:val="006A02D6"/>
    <w:rsid w:val="006A0F28"/>
    <w:rsid w:val="006A2227"/>
    <w:rsid w:val="006A4AF1"/>
    <w:rsid w:val="006A546A"/>
    <w:rsid w:val="006A6DFF"/>
    <w:rsid w:val="006B1099"/>
    <w:rsid w:val="006B122A"/>
    <w:rsid w:val="006B1FB3"/>
    <w:rsid w:val="006B23F2"/>
    <w:rsid w:val="006B2428"/>
    <w:rsid w:val="006B2AB6"/>
    <w:rsid w:val="006B3101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4C38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4E87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5A5E"/>
    <w:rsid w:val="00737548"/>
    <w:rsid w:val="007376D9"/>
    <w:rsid w:val="007414E8"/>
    <w:rsid w:val="0074219B"/>
    <w:rsid w:val="0074492B"/>
    <w:rsid w:val="007450D8"/>
    <w:rsid w:val="0074541C"/>
    <w:rsid w:val="00745A71"/>
    <w:rsid w:val="00747415"/>
    <w:rsid w:val="00747E16"/>
    <w:rsid w:val="00751076"/>
    <w:rsid w:val="00752160"/>
    <w:rsid w:val="00752BCD"/>
    <w:rsid w:val="007539B2"/>
    <w:rsid w:val="00753A89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AAE"/>
    <w:rsid w:val="00790C65"/>
    <w:rsid w:val="007921BA"/>
    <w:rsid w:val="00792B4A"/>
    <w:rsid w:val="00794BF1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8D0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640"/>
    <w:rsid w:val="007E76DD"/>
    <w:rsid w:val="007F09D9"/>
    <w:rsid w:val="007F0DD2"/>
    <w:rsid w:val="007F1033"/>
    <w:rsid w:val="007F2CAB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A2"/>
    <w:rsid w:val="008222C2"/>
    <w:rsid w:val="008239E2"/>
    <w:rsid w:val="008246ED"/>
    <w:rsid w:val="0082719A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A1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5785"/>
    <w:rsid w:val="008770B9"/>
    <w:rsid w:val="00877329"/>
    <w:rsid w:val="00880AC3"/>
    <w:rsid w:val="00880BD3"/>
    <w:rsid w:val="00880EAE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4EC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43F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41F4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27D87"/>
    <w:rsid w:val="0093136E"/>
    <w:rsid w:val="00931497"/>
    <w:rsid w:val="00932655"/>
    <w:rsid w:val="00932E71"/>
    <w:rsid w:val="00933B99"/>
    <w:rsid w:val="0093439A"/>
    <w:rsid w:val="00934547"/>
    <w:rsid w:val="00935442"/>
    <w:rsid w:val="0093652E"/>
    <w:rsid w:val="00936BB1"/>
    <w:rsid w:val="00936FB0"/>
    <w:rsid w:val="00937595"/>
    <w:rsid w:val="0094072B"/>
    <w:rsid w:val="00940DE2"/>
    <w:rsid w:val="00940F34"/>
    <w:rsid w:val="009425F0"/>
    <w:rsid w:val="00942C0D"/>
    <w:rsid w:val="0094313D"/>
    <w:rsid w:val="00944652"/>
    <w:rsid w:val="0094546A"/>
    <w:rsid w:val="0094687A"/>
    <w:rsid w:val="00947070"/>
    <w:rsid w:val="00947A16"/>
    <w:rsid w:val="0095007B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1F7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6039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5DE8"/>
    <w:rsid w:val="009C693C"/>
    <w:rsid w:val="009C70E3"/>
    <w:rsid w:val="009D02F4"/>
    <w:rsid w:val="009D0C11"/>
    <w:rsid w:val="009D0D83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153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42"/>
    <w:rsid w:val="00A21480"/>
    <w:rsid w:val="00A21714"/>
    <w:rsid w:val="00A218DE"/>
    <w:rsid w:val="00A22969"/>
    <w:rsid w:val="00A23BD9"/>
    <w:rsid w:val="00A26381"/>
    <w:rsid w:val="00A26473"/>
    <w:rsid w:val="00A26886"/>
    <w:rsid w:val="00A30037"/>
    <w:rsid w:val="00A30746"/>
    <w:rsid w:val="00A30E0F"/>
    <w:rsid w:val="00A31124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059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164B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4C37"/>
    <w:rsid w:val="00A84DAD"/>
    <w:rsid w:val="00A8646C"/>
    <w:rsid w:val="00A87BF2"/>
    <w:rsid w:val="00A87F37"/>
    <w:rsid w:val="00A9046F"/>
    <w:rsid w:val="00A90A40"/>
    <w:rsid w:val="00A951F6"/>
    <w:rsid w:val="00A953F4"/>
    <w:rsid w:val="00A95C6D"/>
    <w:rsid w:val="00A95D80"/>
    <w:rsid w:val="00A95EED"/>
    <w:rsid w:val="00A96416"/>
    <w:rsid w:val="00A96536"/>
    <w:rsid w:val="00A966CB"/>
    <w:rsid w:val="00A9792D"/>
    <w:rsid w:val="00A97B9F"/>
    <w:rsid w:val="00AA025D"/>
    <w:rsid w:val="00AA099C"/>
    <w:rsid w:val="00AA13C3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8CC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B01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7E7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6FC8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576B"/>
    <w:rsid w:val="00B46F7C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3D62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530D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2C3"/>
    <w:rsid w:val="00BC0384"/>
    <w:rsid w:val="00BC1683"/>
    <w:rsid w:val="00BC3507"/>
    <w:rsid w:val="00BC3655"/>
    <w:rsid w:val="00BC39E7"/>
    <w:rsid w:val="00BC3DA9"/>
    <w:rsid w:val="00BC79FE"/>
    <w:rsid w:val="00BC7ABF"/>
    <w:rsid w:val="00BC7ED7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5316"/>
    <w:rsid w:val="00C06DFE"/>
    <w:rsid w:val="00C1129A"/>
    <w:rsid w:val="00C11587"/>
    <w:rsid w:val="00C121DB"/>
    <w:rsid w:val="00C138CD"/>
    <w:rsid w:val="00C13AE3"/>
    <w:rsid w:val="00C14928"/>
    <w:rsid w:val="00C1558C"/>
    <w:rsid w:val="00C16979"/>
    <w:rsid w:val="00C21724"/>
    <w:rsid w:val="00C217C1"/>
    <w:rsid w:val="00C2698E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1EFA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148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2CC9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336"/>
    <w:rsid w:val="00CB17AD"/>
    <w:rsid w:val="00CB2091"/>
    <w:rsid w:val="00CB25D2"/>
    <w:rsid w:val="00CB36FD"/>
    <w:rsid w:val="00CC0995"/>
    <w:rsid w:val="00CC1641"/>
    <w:rsid w:val="00CC33B4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AA9"/>
    <w:rsid w:val="00D07AE3"/>
    <w:rsid w:val="00D10ECA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5767"/>
    <w:rsid w:val="00D37A76"/>
    <w:rsid w:val="00D37D22"/>
    <w:rsid w:val="00D418E6"/>
    <w:rsid w:val="00D41BF7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2A1A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836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494B"/>
    <w:rsid w:val="00E25E96"/>
    <w:rsid w:val="00E3013D"/>
    <w:rsid w:val="00E31049"/>
    <w:rsid w:val="00E3227C"/>
    <w:rsid w:val="00E325B8"/>
    <w:rsid w:val="00E32DD4"/>
    <w:rsid w:val="00E34EC2"/>
    <w:rsid w:val="00E40F45"/>
    <w:rsid w:val="00E450D2"/>
    <w:rsid w:val="00E47781"/>
    <w:rsid w:val="00E47F6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677B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A9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231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5EE"/>
    <w:rsid w:val="00ED7BE9"/>
    <w:rsid w:val="00EE0089"/>
    <w:rsid w:val="00EE167C"/>
    <w:rsid w:val="00EE17D1"/>
    <w:rsid w:val="00EE1D04"/>
    <w:rsid w:val="00EE382C"/>
    <w:rsid w:val="00EE513A"/>
    <w:rsid w:val="00EE5C18"/>
    <w:rsid w:val="00EE6358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5BF"/>
    <w:rsid w:val="00F13C42"/>
    <w:rsid w:val="00F15803"/>
    <w:rsid w:val="00F16646"/>
    <w:rsid w:val="00F17D7C"/>
    <w:rsid w:val="00F200A5"/>
    <w:rsid w:val="00F21362"/>
    <w:rsid w:val="00F21726"/>
    <w:rsid w:val="00F239F2"/>
    <w:rsid w:val="00F23B42"/>
    <w:rsid w:val="00F2598E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6CD7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8795A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15EA"/>
    <w:rsid w:val="00FC49D0"/>
    <w:rsid w:val="00FC7899"/>
    <w:rsid w:val="00FC7F4B"/>
    <w:rsid w:val="00FD0141"/>
    <w:rsid w:val="00FD0BA8"/>
    <w:rsid w:val="00FD1440"/>
    <w:rsid w:val="00FD18BD"/>
    <w:rsid w:val="00FD229B"/>
    <w:rsid w:val="00FD2A18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65D1D28"/>
  <w15:docId w15:val="{2C04EFA1-321A-4A86-B8D9-6AB4DA14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50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/strefa-klienta/przydatne-dokument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strefa-klienta/przydatne-dokumen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 - cz. 1.docx</dmsv2BaseFileName>
    <dmsv2BaseDisplayName xmlns="http://schemas.microsoft.com/sharepoint/v3">Załącznik nr 1.7 do SWZ - cz. 1</dmsv2BaseDisplayName>
    <dmsv2SWPP2ObjectNumber xmlns="http://schemas.microsoft.com/sharepoint/v3">POST/DYS/OLD/GZ/00383/2025                        </dmsv2SWPP2ObjectNumber>
    <dmsv2SWPP2SumMD5 xmlns="http://schemas.microsoft.com/sharepoint/v3">7b5e5e6502f142c4e18ece9bb327dc60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669569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21636181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UFFPNC7AYYXC-485694627-5247</_dlc_DocId>
    <_dlc_DocIdUrl xmlns="a19cb1c7-c5c7-46d4-85ae-d83685407bba">
      <Url>https://swpp2.dms.gkpge.pl/sites/34/_layouts/15/DocIdRedir.aspx?ID=UFFPNC7AYYXC-485694627-5247</Url>
      <Description>UFFPNC7AYYXC-485694627-5247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7F93-09BC-4E12-936D-6D6D3EA1FAE2}"/>
</file>

<file path=customXml/itemProps2.xml><?xml version="1.0" encoding="utf-8"?>
<ds:datastoreItem xmlns:ds="http://schemas.openxmlformats.org/officeDocument/2006/customXml" ds:itemID="{4E07CF79-DB45-403C-9DFC-5723380F0C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DC501AB-3B47-44C6-B428-882828FE21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AAC067-A576-4AD6-BCC9-62DA3244CD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DC63ED7-BB6D-441F-84F2-70C080B0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1924</Words>
  <Characters>11544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Jarosz Klaudia [PGE Dystr. O.Łódź]</cp:lastModifiedBy>
  <cp:revision>71</cp:revision>
  <cp:lastPrinted>2021-09-22T09:55:00Z</cp:lastPrinted>
  <dcterms:created xsi:type="dcterms:W3CDTF">2018-01-22T07:15:00Z</dcterms:created>
  <dcterms:modified xsi:type="dcterms:W3CDTF">2025-02-12T11:47:00Z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63f0c1cb-40d8-48e1-a671-9dabb4bd3fbd</vt:lpwstr>
  </property>
</Properties>
</file>