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840A10" w:rsidRDefault="00121410" w:rsidP="00840A10">
      <w:pPr>
        <w:pStyle w:val="Nagwek1"/>
        <w:rPr>
          <w:lang w:val="pl-PL"/>
        </w:rPr>
      </w:pPr>
      <w:r w:rsidRPr="00840A10">
        <w:rPr>
          <w:lang w:val="pl-PL"/>
        </w:rPr>
        <w:t>Zakres zamówienia</w:t>
      </w:r>
    </w:p>
    <w:p w:rsidR="00121410" w:rsidRPr="00590219" w:rsidRDefault="00121410" w:rsidP="00121410">
      <w:pPr>
        <w:pStyle w:val="bezpunkw"/>
      </w:pPr>
      <w:r w:rsidRPr="00590219">
        <w:t>Zakres zamówienia obejmuje:</w:t>
      </w:r>
    </w:p>
    <w:p w:rsidR="00121410" w:rsidRPr="00121410" w:rsidRDefault="00121410" w:rsidP="00121410">
      <w:pPr>
        <w:pStyle w:val="Styl2"/>
      </w:pPr>
      <w:r w:rsidRPr="00121410">
        <w:t>Oprac</w:t>
      </w:r>
      <w:r w:rsidR="000C4FFF">
        <w:t>owanie dokumentacji projektowej</w:t>
      </w:r>
      <w:r w:rsidR="000C4FFF">
        <w:rPr>
          <w:lang w:val="pl-PL"/>
        </w:rPr>
        <w:t>,</w:t>
      </w:r>
      <w:bookmarkStart w:id="0" w:name="_GoBack"/>
      <w:bookmarkEnd w:id="0"/>
    </w:p>
    <w:p w:rsidR="00121410" w:rsidRPr="00590219" w:rsidRDefault="00121410" w:rsidP="00121410">
      <w:pPr>
        <w:pStyle w:val="Styl2"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121410">
      <w:pPr>
        <w:pStyle w:val="Styl2"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121410">
      <w:pPr>
        <w:pStyle w:val="Styl2"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Pr="00840A10" w:rsidRDefault="00121410" w:rsidP="00840A10">
      <w:pPr>
        <w:pStyle w:val="Nagwek1"/>
        <w:rPr>
          <w:lang w:val="pl-PL"/>
        </w:rPr>
      </w:pPr>
      <w:bookmarkStart w:id="1" w:name="_Toc312846236"/>
      <w:r w:rsidRPr="00840A10">
        <w:rPr>
          <w:lang w:val="pl-PL"/>
        </w:rPr>
        <w:t>Stan projektowany</w:t>
      </w:r>
      <w:bookmarkEnd w:id="1"/>
    </w:p>
    <w:p w:rsidR="00D41BF7" w:rsidRDefault="00121410" w:rsidP="00D41BF7"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  <w:r w:rsidR="00794BF1" w:rsidRPr="00794BF1">
        <w:t xml:space="preserve"> </w:t>
      </w:r>
    </w:p>
    <w:p w:rsidR="003A6FA0" w:rsidRPr="003A6FA0" w:rsidRDefault="003A6FA0" w:rsidP="003A6FA0">
      <w:pPr>
        <w:spacing w:before="0" w:after="0" w:line="276" w:lineRule="auto"/>
        <w:ind w:left="0" w:firstLine="0"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b/>
          <w:sz w:val="22"/>
          <w:szCs w:val="22"/>
          <w:lang w:eastAsia="en-US"/>
        </w:rPr>
        <w:t>Rozdzielnica 15 kV dla pól 30 i 31 musi spełniać nw. wymagania: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 w:hanging="425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Rozdzielnica 15 kV – trójfazowa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 w:hanging="425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Napięcie znamionowe rozdzielnicy Un – 17,5 kV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 w:hanging="425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Częstotliwość znamionowa – 50 Hz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 w:hanging="425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Prąd znamionowy ciągły:</w:t>
      </w:r>
    </w:p>
    <w:p w:rsidR="003A6FA0" w:rsidRPr="003A6FA0" w:rsidRDefault="003A6FA0" w:rsidP="003A6FA0">
      <w:pPr>
        <w:numPr>
          <w:ilvl w:val="0"/>
          <w:numId w:val="27"/>
        </w:numPr>
        <w:spacing w:before="0" w:after="0" w:line="276" w:lineRule="auto"/>
        <w:ind w:hanging="720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I = 1250  A dla szyn zbiorczych</w:t>
      </w:r>
    </w:p>
    <w:p w:rsidR="003A6FA0" w:rsidRPr="003A6FA0" w:rsidRDefault="003A6FA0" w:rsidP="003A6FA0">
      <w:pPr>
        <w:numPr>
          <w:ilvl w:val="0"/>
          <w:numId w:val="27"/>
        </w:numPr>
        <w:spacing w:before="0" w:after="0" w:line="276" w:lineRule="auto"/>
        <w:ind w:hanging="720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I = 630 A dla pól liniowych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 w:hanging="425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Parametry zwarciowe dla rozdzielnicy 15 kV:</w:t>
      </w:r>
    </w:p>
    <w:p w:rsidR="003A6FA0" w:rsidRPr="003A6FA0" w:rsidRDefault="003A6FA0" w:rsidP="003A6FA0">
      <w:pPr>
        <w:numPr>
          <w:ilvl w:val="0"/>
          <w:numId w:val="28"/>
        </w:numPr>
        <w:spacing w:before="0" w:after="0" w:line="276" w:lineRule="auto"/>
        <w:ind w:hanging="720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SZW – 250 MVA</w:t>
      </w:r>
    </w:p>
    <w:p w:rsidR="003A6FA0" w:rsidRPr="003A6FA0" w:rsidRDefault="003A6FA0" w:rsidP="003A6FA0">
      <w:pPr>
        <w:numPr>
          <w:ilvl w:val="0"/>
          <w:numId w:val="28"/>
        </w:numPr>
        <w:spacing w:before="0" w:after="0" w:line="276" w:lineRule="auto"/>
        <w:ind w:hanging="720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IZW – 10 kA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Rozdzielnica 15 kV –dwupolowa (pole 30 i 31) (np. rozdzielnica D-17PL)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Rozdzielnica 15 kV w wykonaniu wnętrzowym o konstrukcji cztero-przedziałowej.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Rozdzielnica 15 kV w izolacji powietrznej.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Rozdzielnica 15 kV w obudowie metalowej, łukoodporna, zgodne z kolorystyką sekcji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Układ rozdzielnicy powinien umożliwiać: wyłączenie, odłączenie i uziemienie poszczególnych pól (uziemienie pola nie może pozbawić pola napięcia sterowniczego i sygnalizacyjnego).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Rozdzielnica musi posiadać pełny system blokad wykluczający dostęp do części pod napięciem i wykonywanie błędnych czynności łączeniowych oraz umożliwiających wykonanie pomiarów kabli bez ich odpinania. Rozdzielnica musi posiadać blokadę zamknięcia uziemnika od obecności napięcia na kablu 15 kV.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Rozdzielnica musi być wyposażona we wskaźniki obecności napięcia zabudowane na stałe we wszystkich polach, na każdej fazie.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Zastosowana rozdzielnica 15 kV powinna być wyposażona w napędy silnikowe umożliwiające zdalne sterowanie łącznikami 15 kV umożliwiające wyłączenie, odłączenie oraz uziemienie pola 15 kV (przy czym zdalne sterowanie ma obejmować wszystkie łączniki w rozdzielni 15 kV, w tym również przestawienie wózka oraz uziemniki pól).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Konstrukcja rozdzielni 15 kV powinna umożliwiać dogodny dostęp do przekładników prądowych 15 kV w taki sposób by możliwe było prądowe wymuszanie zabezpieczeń nadprądowych od strony pierwotnej przekładników prądowych 15 kV.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Konstrukcja rozdzielnicy powinna umożliwiać montaż przekładników napięciowych wraz z bezpiecznikami  w polach linii 15 kV.</w:t>
      </w:r>
    </w:p>
    <w:p w:rsidR="003A6FA0" w:rsidRPr="003A6FA0" w:rsidRDefault="003A6FA0" w:rsidP="003A6FA0">
      <w:pPr>
        <w:numPr>
          <w:ilvl w:val="0"/>
          <w:numId w:val="25"/>
        </w:numPr>
        <w:spacing w:before="0" w:after="0" w:line="276" w:lineRule="auto"/>
        <w:ind w:left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lastRenderedPageBreak/>
        <w:t>Należy zastosować pole dopasowujące dla przyłączenia pola 30 w sekcji nr 2 do rozdzielnicy typu NX PLUS C w polu 29.</w:t>
      </w:r>
    </w:p>
    <w:p w:rsidR="003A6FA0" w:rsidRPr="003A6FA0" w:rsidRDefault="003A6FA0" w:rsidP="003A6FA0">
      <w:pPr>
        <w:spacing w:before="0" w:after="0" w:line="276" w:lineRule="auto"/>
        <w:ind w:left="709" w:firstLine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1080" w:firstLine="0"/>
        <w:rPr>
          <w:rFonts w:ascii="Arial" w:eastAsia="Calibri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720" w:hanging="7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b/>
          <w:bCs/>
          <w:sz w:val="22"/>
          <w:szCs w:val="22"/>
          <w:lang w:eastAsia="en-US"/>
        </w:rPr>
        <w:t>W sekcji nr 2 pole nr 30 – pole z generacją:</w:t>
      </w:r>
    </w:p>
    <w:p w:rsidR="003A6FA0" w:rsidRPr="003A6FA0" w:rsidRDefault="003A6FA0" w:rsidP="003A6FA0">
      <w:pPr>
        <w:spacing w:before="0" w:after="0" w:line="276" w:lineRule="auto"/>
        <w:ind w:left="0" w:firstLine="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Zamontowanie nowego wyłącznika SN który musi spełniać n/w wymagania: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ind w:hanging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Napięcie znamionowe   - 17,5 kV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ind w:hanging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Znamionowe napięcie izolacji - min. 17,5 kV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ind w:hanging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Napięcie probiercze 50 Hz  - min. 38 kV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ind w:hanging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Napięcie probiercze impulsowe - min. 95 kV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ind w:hanging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Prąd znamionowy wyłączalny Iż - 2</w:t>
      </w:r>
      <w:r w:rsidRPr="003A6FA0">
        <w:rPr>
          <w:rFonts w:ascii="Arial" w:eastAsia="Calibri" w:hAnsi="Arial" w:cs="Arial"/>
          <w:color w:val="1F497D"/>
          <w:sz w:val="22"/>
          <w:szCs w:val="22"/>
          <w:lang w:eastAsia="en-US"/>
        </w:rPr>
        <w:t>5</w:t>
      </w: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 kA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ind w:hanging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Prąd znamionowy pól liniowych In - 630 A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ind w:hanging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2 cewki wyłączające - 220 V DC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ind w:hanging="709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Cewka załączająca - 220 V DC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Napęd silnikowo-zasobnikowy, sprężynowy - 220 V DC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Środowisko gaszenia łuku - próżnia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Ilość cykli łączeniowych wyłącznika przy In - min. 30 000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Ilość cykli łączeniowych zwarć przy Iz - min. 50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Wewnętrzny układ blokady przeciw pompowaniu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Temperatura pracy - od -5 ºC   do + 40 ºC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Styk migowy sygnalizacji wyłączenia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Styki pomocnicze: - 8 x NO + 8 x NC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Styk sygnalizacji zbrojenia napędu - 1 x NO + 1 x NC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Przycisk załączający i wyłączający zamontowane na obudowie wyłącznika dostępne z korytarza obsługi.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Mechaniczny wskaźnik stanu położenia wyłącznika.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Wskaźnik stanu zbrojenia napędu.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Licznik cykli łączeniowych.</w:t>
      </w:r>
    </w:p>
    <w:p w:rsidR="003A6FA0" w:rsidRPr="003A6FA0" w:rsidRDefault="003A6FA0" w:rsidP="003A6FA0">
      <w:pPr>
        <w:numPr>
          <w:ilvl w:val="0"/>
          <w:numId w:val="31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Możliwość zbrojenia napędu przy braku napięcia 220 V DC.</w:t>
      </w:r>
    </w:p>
    <w:p w:rsidR="003A6FA0" w:rsidRPr="003A6FA0" w:rsidRDefault="003A6FA0" w:rsidP="003A6FA0">
      <w:pPr>
        <w:spacing w:before="0" w:after="0" w:line="276" w:lineRule="auto"/>
        <w:ind w:left="709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Zabudowanie nowego przekaźnika zabezpieczeniowego wraz z konfiguracją: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należy przystosować zabezpieczenie do realizacji rozproszonej automatyki SCO z blokadą od mocy zwrotnej, pomiary należy zrealizować na wyświetlaczu zabezpieczenia - (preferowane Micom lub równoważny)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wykonanie dokumentacji technicznej pól 15 kV (w zakresie całych pól),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wykonać aktualizację instrukcji eksploatacji stacji,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obwody wtórne z rezerwowych rdzeni przekładników należy dociągnąć do listwy w celce pola,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niewykorzystane rdzenie przekładników prądowych zewrzeć (na listwie w celce pole)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 xml:space="preserve">doposażyć/przekonfigurować sterownik telemechaniki wraz z edycją w Systemie WindEx, 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doposażyć dla uruchomienia kanału inżynierskiego i uruchomić kanał inżynierski,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 xml:space="preserve">zabudować listwę kontrolną pomiarową (np. WAGO 848-815), 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zabudować sterowniki pakietowe w polu (łączniki krzywkowe),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zabudować listwy zaciskowe w polu,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przewody w celce oznaczyć trwale – oznaczniki na końcówkach przewodów,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w celce pola zamontować gniazdo 230V,</w:t>
      </w:r>
    </w:p>
    <w:p w:rsidR="003A6FA0" w:rsidRPr="003A6FA0" w:rsidRDefault="003A6FA0" w:rsidP="003A6FA0">
      <w:pPr>
        <w:numPr>
          <w:ilvl w:val="0"/>
          <w:numId w:val="32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color w:val="1F497D"/>
          <w:sz w:val="22"/>
          <w:szCs w:val="22"/>
          <w:lang w:eastAsia="en-US"/>
        </w:rPr>
        <w:t>w</w:t>
      </w:r>
      <w:r w:rsidRPr="003A6FA0">
        <w:rPr>
          <w:rFonts w:ascii="Arial" w:eastAsia="Calibri" w:hAnsi="Arial" w:cs="Arial"/>
          <w:sz w:val="22"/>
          <w:szCs w:val="22"/>
          <w:lang w:eastAsia="en-US"/>
        </w:rPr>
        <w:t>ykonać obliczenie nastaw dla pól liniowych</w:t>
      </w:r>
    </w:p>
    <w:p w:rsidR="003A6FA0" w:rsidRPr="003A6FA0" w:rsidRDefault="003A6FA0" w:rsidP="003A6FA0">
      <w:pPr>
        <w:spacing w:before="0" w:after="0"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lastRenderedPageBreak/>
        <w:t>Zabudowanie przekładników prądowych:</w:t>
      </w:r>
    </w:p>
    <w:p w:rsidR="003A6FA0" w:rsidRPr="003A6FA0" w:rsidRDefault="003A6FA0" w:rsidP="003A6FA0">
      <w:pPr>
        <w:numPr>
          <w:ilvl w:val="0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przekładniki w izolacji stałej o przekładni 200-400A/5/5/5A, klasa dokładności rdzeni: </w:t>
      </w:r>
    </w:p>
    <w:p w:rsidR="003A6FA0" w:rsidRPr="003A6FA0" w:rsidRDefault="003A6FA0" w:rsidP="003A6FA0">
      <w:pPr>
        <w:numPr>
          <w:ilvl w:val="0"/>
          <w:numId w:val="30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pomiarowych 0,2s, </w:t>
      </w:r>
    </w:p>
    <w:p w:rsidR="003A6FA0" w:rsidRPr="003A6FA0" w:rsidRDefault="003A6FA0" w:rsidP="003A6FA0">
      <w:pPr>
        <w:numPr>
          <w:ilvl w:val="0"/>
          <w:numId w:val="30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zabezpieczeniowy 5P20 </w:t>
      </w:r>
    </w:p>
    <w:p w:rsidR="003A6FA0" w:rsidRPr="003A6FA0" w:rsidRDefault="003A6FA0" w:rsidP="003A6FA0">
      <w:pPr>
        <w:numPr>
          <w:ilvl w:val="0"/>
          <w:numId w:val="30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zabezpieczeniowy 5P20, Ith=100 x In, FS=&lt;5)</w:t>
      </w:r>
    </w:p>
    <w:p w:rsidR="003A6FA0" w:rsidRPr="003A6FA0" w:rsidRDefault="003A6FA0" w:rsidP="003A6FA0">
      <w:pPr>
        <w:spacing w:before="0" w:after="0"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Zabudowanie przekładnika Ferrantiego:</w:t>
      </w:r>
    </w:p>
    <w:p w:rsidR="003A6FA0" w:rsidRPr="003A6FA0" w:rsidRDefault="003A6FA0" w:rsidP="003A6FA0">
      <w:pPr>
        <w:numPr>
          <w:ilvl w:val="1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przekładnia 100/1/1A z rdzeniem dzielonym,</w:t>
      </w:r>
    </w:p>
    <w:p w:rsidR="003A6FA0" w:rsidRPr="003A6FA0" w:rsidRDefault="003A6FA0" w:rsidP="003A6FA0">
      <w:pPr>
        <w:spacing w:before="0" w:after="0"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Zabudowanie kompletu przekładnikównapięciowych </w:t>
      </w:r>
    </w:p>
    <w:p w:rsidR="003A6FA0" w:rsidRPr="003A6FA0" w:rsidRDefault="003A6FA0" w:rsidP="003A6FA0">
      <w:pPr>
        <w:numPr>
          <w:ilvl w:val="1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z bezpiecznikami </w:t>
      </w:r>
    </w:p>
    <w:p w:rsidR="003A6FA0" w:rsidRPr="003A6FA0" w:rsidRDefault="003A6FA0" w:rsidP="003A6FA0">
      <w:pPr>
        <w:numPr>
          <w:ilvl w:val="1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(przekładniki w izolacji stałej o przekładni 15/(V3)/0,1/(V3)0,1/(V3)/0,1/3 kV, klasa dokładności rdzeni: I rdzeń-0,2 , II rdzeń -1/3P, III rdzeń – 3P otwarty trójkąt, </w:t>
      </w:r>
    </w:p>
    <w:p w:rsidR="003A6FA0" w:rsidRPr="003A6FA0" w:rsidRDefault="003A6FA0" w:rsidP="003A6FA0">
      <w:pPr>
        <w:numPr>
          <w:ilvl w:val="1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przekładniki wyposażone w podstawy bezpiecznikowe wraz z bezpiecznikami, </w:t>
      </w:r>
    </w:p>
    <w:p w:rsidR="003A6FA0" w:rsidRPr="003A6FA0" w:rsidRDefault="003A6FA0" w:rsidP="003A6FA0">
      <w:pPr>
        <w:numPr>
          <w:ilvl w:val="1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przekładniki należy zabezpieczyć przed ferrorezonansem (np. zastosować urządzenia VT guard PRO),</w:t>
      </w:r>
    </w:p>
    <w:p w:rsidR="003A6FA0" w:rsidRPr="003A6FA0" w:rsidRDefault="003A6FA0" w:rsidP="003A6FA0">
      <w:pPr>
        <w:spacing w:before="0" w:after="0" w:line="276" w:lineRule="auto"/>
        <w:ind w:left="1080" w:firstLine="0"/>
        <w:rPr>
          <w:rFonts w:ascii="Arial" w:eastAsia="Calibri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numPr>
          <w:ilvl w:val="0"/>
          <w:numId w:val="29"/>
        </w:numPr>
        <w:pBdr>
          <w:bottom w:val="single" w:sz="6" w:space="0" w:color="auto"/>
        </w:pBdr>
        <w:spacing w:before="0" w:after="0"/>
        <w:ind w:left="567" w:right="-24" w:hanging="207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b/>
          <w:sz w:val="22"/>
          <w:szCs w:val="22"/>
          <w:lang w:eastAsia="en-US"/>
        </w:rPr>
        <w:t>budowa złącza kablowego 15 kV z rozdzielnicą 4-polową z rozłącznikami</w:t>
      </w: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 z napędem + telemechanika + PW w polach liniowych do ww. obiektów zlokalizowanym na terenie stacji 110/15 Stobiecko w miejscowości Radomsko, oraz budowę linii kablowej 15 kV typu 3xXnRUHAKXS 1x240mm</w:t>
      </w:r>
      <w:r w:rsidRPr="003A6FA0">
        <w:rPr>
          <w:rFonts w:ascii="Arial" w:eastAsia="Bookman Old Style" w:hAnsi="Arial" w:cs="Arial"/>
          <w:sz w:val="22"/>
          <w:szCs w:val="22"/>
          <w:vertAlign w:val="superscript"/>
          <w:lang w:eastAsia="en-US"/>
        </w:rPr>
        <w:t>2</w:t>
      </w: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 o szacunkowej długości 100 m, z projektowanego pola liniowego 15 kV nr 30 w stacji transformatorowej 110/15 kV Stobiecko do ww. złącza kablowego SN.</w:t>
      </w:r>
    </w:p>
    <w:p w:rsidR="003A6FA0" w:rsidRPr="003A6FA0" w:rsidRDefault="003A6FA0" w:rsidP="003A6FA0">
      <w:pPr>
        <w:spacing w:before="0" w:after="0" w:line="276" w:lineRule="auto"/>
        <w:ind w:left="1080" w:firstLine="0"/>
        <w:rPr>
          <w:rFonts w:ascii="Arial" w:eastAsia="Calibri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720" w:hanging="72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b/>
          <w:bCs/>
          <w:sz w:val="22"/>
          <w:szCs w:val="22"/>
          <w:lang w:eastAsia="en-US"/>
        </w:rPr>
        <w:t>W sekcji nr 2 pole nr 31 – pole z generacją:</w:t>
      </w:r>
    </w:p>
    <w:p w:rsidR="003A6FA0" w:rsidRPr="003A6FA0" w:rsidRDefault="003A6FA0" w:rsidP="003A6FA0">
      <w:pPr>
        <w:spacing w:before="0" w:after="0" w:line="276" w:lineRule="auto"/>
        <w:ind w:left="0" w:firstLine="0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Zamontowanie nowego wyłącznika SN który musi spełniać n/w wymagania: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Napięcie znamionowe   - 17,5 kV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Znamionowe napięcie izolacji - min. 17,5 kV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Napięcie probiercze 50 Hz  - min. 38 kV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Napięcie probiercze impulsowe - min. 95 kV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Prąd znamionowy wyłączalny Iż - 2</w:t>
      </w:r>
      <w:r w:rsidRPr="003A6FA0">
        <w:rPr>
          <w:rFonts w:ascii="Arial" w:eastAsia="Calibri" w:hAnsi="Arial" w:cs="Arial"/>
          <w:color w:val="1F497D"/>
          <w:sz w:val="22"/>
          <w:szCs w:val="22"/>
          <w:lang w:eastAsia="en-US"/>
        </w:rPr>
        <w:t>5</w:t>
      </w: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 kA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Prąd znamionowy pól liniowych In - 630 A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2 cewki wyłączające - 220 V DC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Cewka załączająca - 220 V DC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Napęd silnikowo-zasobnikowy, sprężynowy - 220 V DC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Środowisko gaszenia łuku - próżnia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Ilość cykli łączeniowych wyłącznika przy In - min. 30 000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Ilość cykli łączeniowych zwarć przy Iz - min. 50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Wewnętrzny układ blokady przeciw pompowaniu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Temperatura pracy - od -5 ºC   do + 40 ºC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Styk migowy sygnalizacji wyłączenia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Styki pomocnicze: - 8 x NO + 8 x NC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Styk sygnalizacji zbrojenia napędu - 1 x NO + 1 x NC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Przycisk załączający i wyłączający zamontowane na obudowie wyłącznika dostępne z korytarza obsługi.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Mechaniczny wskaźnik stanu położenia wyłącznika.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Wskaźnik stanu zbrojenia napędu.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Licznik cykli łączeniowych.</w:t>
      </w:r>
    </w:p>
    <w:p w:rsidR="003A6FA0" w:rsidRPr="003A6FA0" w:rsidRDefault="003A6FA0" w:rsidP="003A6FA0">
      <w:pPr>
        <w:numPr>
          <w:ilvl w:val="0"/>
          <w:numId w:val="33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Możliwość zbrojenia napędu przy braku napięcia 220 V DC.</w:t>
      </w:r>
    </w:p>
    <w:p w:rsidR="003A6FA0" w:rsidRPr="003A6FA0" w:rsidRDefault="003A6FA0" w:rsidP="003A6FA0">
      <w:pPr>
        <w:spacing w:before="0" w:after="0" w:line="276" w:lineRule="auto"/>
        <w:ind w:left="709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lastRenderedPageBreak/>
        <w:t>Zabudowanie nowego przekaźnika zabezpieczeniowego wraz z konfiguracją: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należy przystosować zabezpieczenie do realizacji rozproszonej automatyki SCO z blokadą od mocy zwrotnej, </w:t>
      </w:r>
    </w:p>
    <w:p w:rsidR="003A6FA0" w:rsidRPr="003A6FA0" w:rsidRDefault="003A6FA0" w:rsidP="003A6FA0">
      <w:pPr>
        <w:spacing w:before="0" w:after="0" w:line="276" w:lineRule="auto"/>
        <w:ind w:left="72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pomiary należy zrealizować na wyświetlaczu zabezpieczenia - (preferowane Micom lub równoważny)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wykonanie dokumentacji technicznej pól 15 kV (w zakresie całych pól),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wykonać aktualizację instrukcji eksploatacji stacji,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obwody wtórne z rezerwowych rdzeni przekładników należy dociągnąć do listwy w celce pola,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niewykorzystane rdzenie przekładników prądowych zewrzeć (na listwie w celce pole)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 xml:space="preserve">doposażyć/przekonfigurować sterownik telemechaniki wraz z edycją w Systemie WindEx, 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doposażyć dla uruchomienia kanału inżynierskiego i uruchomić kanał inżynierski,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 xml:space="preserve">zabudować listwę kontrolną pomiarową (np. WAGO 848-815), 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zabudować sterowniki pakietowe w polu (łączniki krzywkowe),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zabudować listwy zaciskowe w polu,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przewody w celce oznaczyć trwale – oznaczniki na końcówkach przewodów,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hAnsi="Arial" w:cs="Arial"/>
          <w:sz w:val="22"/>
          <w:szCs w:val="22"/>
          <w:lang w:eastAsia="en-US"/>
        </w:rPr>
      </w:pPr>
      <w:r w:rsidRPr="003A6FA0">
        <w:rPr>
          <w:rFonts w:ascii="Arial" w:hAnsi="Arial" w:cs="Arial"/>
          <w:sz w:val="22"/>
          <w:szCs w:val="22"/>
          <w:lang w:eastAsia="en-US"/>
        </w:rPr>
        <w:t>w celce pola zamontować gniazdo 230V,</w:t>
      </w:r>
    </w:p>
    <w:p w:rsidR="003A6FA0" w:rsidRPr="003A6FA0" w:rsidRDefault="003A6FA0" w:rsidP="003A6FA0">
      <w:pPr>
        <w:numPr>
          <w:ilvl w:val="0"/>
          <w:numId w:val="34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color w:val="1F497D"/>
          <w:sz w:val="22"/>
          <w:szCs w:val="22"/>
          <w:lang w:eastAsia="en-US"/>
        </w:rPr>
        <w:t>w</w:t>
      </w:r>
      <w:r w:rsidRPr="003A6FA0">
        <w:rPr>
          <w:rFonts w:ascii="Arial" w:eastAsia="Calibri" w:hAnsi="Arial" w:cs="Arial"/>
          <w:sz w:val="22"/>
          <w:szCs w:val="22"/>
          <w:lang w:eastAsia="en-US"/>
        </w:rPr>
        <w:t>ykonać obliczenie nastaw dla pól liniowych</w:t>
      </w:r>
    </w:p>
    <w:p w:rsidR="003A6FA0" w:rsidRPr="003A6FA0" w:rsidRDefault="003A6FA0" w:rsidP="003A6FA0">
      <w:pPr>
        <w:spacing w:before="0" w:after="0"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Zabudowanie przekładników prądowych:</w:t>
      </w:r>
    </w:p>
    <w:p w:rsidR="003A6FA0" w:rsidRPr="003A6FA0" w:rsidRDefault="003A6FA0" w:rsidP="003A6FA0">
      <w:pPr>
        <w:numPr>
          <w:ilvl w:val="0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przekładniki w izolacji stałej o przekładni 200-400A/5/5/5A, klasa dokładności rdzeni: </w:t>
      </w:r>
    </w:p>
    <w:p w:rsidR="003A6FA0" w:rsidRPr="003A6FA0" w:rsidRDefault="003A6FA0" w:rsidP="003A6FA0">
      <w:pPr>
        <w:numPr>
          <w:ilvl w:val="0"/>
          <w:numId w:val="30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pomiarowych 0,2s, </w:t>
      </w:r>
    </w:p>
    <w:p w:rsidR="003A6FA0" w:rsidRPr="003A6FA0" w:rsidRDefault="003A6FA0" w:rsidP="003A6FA0">
      <w:pPr>
        <w:numPr>
          <w:ilvl w:val="0"/>
          <w:numId w:val="30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zabezpieczeniowy 5P20 </w:t>
      </w:r>
    </w:p>
    <w:p w:rsidR="003A6FA0" w:rsidRPr="003A6FA0" w:rsidRDefault="003A6FA0" w:rsidP="003A6FA0">
      <w:pPr>
        <w:numPr>
          <w:ilvl w:val="0"/>
          <w:numId w:val="30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zabezpieczeniowy 5P20, Ith=100 x In, FS=&lt;5)</w:t>
      </w:r>
    </w:p>
    <w:p w:rsidR="003A6FA0" w:rsidRPr="003A6FA0" w:rsidRDefault="003A6FA0" w:rsidP="003A6FA0">
      <w:pPr>
        <w:spacing w:before="0" w:after="0"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Zabudowanie przekładnika Ferrantiego:</w:t>
      </w:r>
    </w:p>
    <w:p w:rsidR="003A6FA0" w:rsidRPr="003A6FA0" w:rsidRDefault="003A6FA0" w:rsidP="003A6FA0">
      <w:pPr>
        <w:numPr>
          <w:ilvl w:val="1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przekładnia 100/1/1A z rdzeniem dzielonym,</w:t>
      </w:r>
    </w:p>
    <w:p w:rsidR="003A6FA0" w:rsidRPr="003A6FA0" w:rsidRDefault="003A6FA0" w:rsidP="003A6FA0">
      <w:pPr>
        <w:spacing w:before="0" w:after="0"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Zabudowanie kompletu przekładnikównapięciowych </w:t>
      </w:r>
    </w:p>
    <w:p w:rsidR="003A6FA0" w:rsidRPr="003A6FA0" w:rsidRDefault="003A6FA0" w:rsidP="003A6FA0">
      <w:pPr>
        <w:numPr>
          <w:ilvl w:val="1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z bezpiecznikami </w:t>
      </w:r>
    </w:p>
    <w:p w:rsidR="003A6FA0" w:rsidRPr="003A6FA0" w:rsidRDefault="003A6FA0" w:rsidP="003A6FA0">
      <w:pPr>
        <w:numPr>
          <w:ilvl w:val="1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(przekładniki w izolacji stałej o przekładni 15/(V3)/0,1/(V3)0,1/(V3)/0,1/3 kV, klasa dokładności rdzeni: I rdzeń-0,2 , II rdzeń -1/3P, III rdzeń – 3P otwarty trójkąt, </w:t>
      </w:r>
    </w:p>
    <w:p w:rsidR="003A6FA0" w:rsidRPr="003A6FA0" w:rsidRDefault="003A6FA0" w:rsidP="003A6FA0">
      <w:pPr>
        <w:numPr>
          <w:ilvl w:val="1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 xml:space="preserve">przekładniki wyposażone w podstawy bezpiecznikowe wraz z bezpiecznikami, </w:t>
      </w:r>
    </w:p>
    <w:p w:rsidR="003A6FA0" w:rsidRPr="003A6FA0" w:rsidRDefault="003A6FA0" w:rsidP="003A6FA0">
      <w:pPr>
        <w:numPr>
          <w:ilvl w:val="1"/>
          <w:numId w:val="29"/>
        </w:numPr>
        <w:spacing w:before="0" w:after="0" w:line="276" w:lineRule="auto"/>
        <w:contextualSpacing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3A6FA0">
        <w:rPr>
          <w:rFonts w:ascii="Arial" w:eastAsia="Calibri" w:hAnsi="Arial" w:cs="Arial"/>
          <w:sz w:val="22"/>
          <w:szCs w:val="22"/>
          <w:lang w:eastAsia="en-US"/>
        </w:rPr>
        <w:t>przekładniki należy zabezpieczyć przed ferrorezonansem (np. zastosować urządzenia VT guard PRO),</w:t>
      </w:r>
    </w:p>
    <w:p w:rsidR="003A6FA0" w:rsidRPr="003A6FA0" w:rsidRDefault="003A6FA0" w:rsidP="003A6FA0">
      <w:pPr>
        <w:numPr>
          <w:ilvl w:val="0"/>
          <w:numId w:val="29"/>
        </w:numPr>
        <w:pBdr>
          <w:bottom w:val="single" w:sz="6" w:space="0" w:color="auto"/>
        </w:pBdr>
        <w:spacing w:before="0" w:after="0"/>
        <w:ind w:left="142" w:right="-24" w:hanging="142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b/>
          <w:sz w:val="22"/>
          <w:szCs w:val="22"/>
          <w:lang w:eastAsia="en-US"/>
        </w:rPr>
        <w:t>budowa złącza kablowego 15 kV z rozdzielnicą 5-polową z rozłącznikami</w:t>
      </w: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 z napędem + telemechanika + PW w polach liniowych do ww. obiektów zlokalizowanym na terenie stacji 110/15 kV Stobiecko w miejscowości Radomsko, oraz budowę linii kablowej 15 kV typu 3xXnRUHAKXS 1x240mm</w:t>
      </w:r>
      <w:r w:rsidRPr="003A6FA0">
        <w:rPr>
          <w:rFonts w:ascii="Arial" w:eastAsia="Bookman Old Style" w:hAnsi="Arial" w:cs="Arial"/>
          <w:sz w:val="22"/>
          <w:szCs w:val="22"/>
          <w:vertAlign w:val="superscript"/>
          <w:lang w:eastAsia="en-US"/>
        </w:rPr>
        <w:t>2</w:t>
      </w: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 o szacunkowej długości 100 m, z projektowanego pola liniowego 15 kV nr 31 w stacji transformatorowej 110/15 kV Stobiecko do ww. złącza kablowego SN.</w:t>
      </w:r>
    </w:p>
    <w:p w:rsidR="003A6FA0" w:rsidRPr="003A6FA0" w:rsidRDefault="003A6FA0" w:rsidP="003A6FA0">
      <w:pPr>
        <w:spacing w:before="0" w:after="0" w:line="276" w:lineRule="auto"/>
        <w:ind w:left="-76" w:right="-24" w:firstLine="0"/>
        <w:rPr>
          <w:rFonts w:ascii="Arial" w:eastAsia="Calibri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0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Zakres łączności: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1. Dla transmisji realizowanych poprzez sieć GSM zastosować modem/router zgodny ze specyfikacją: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- 2 karty SIM z redundancją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zalecane 2 wejścia antenowe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GSM/GPRS/EDGE/WC DMA/HSDPA/HSUPA/LTE, obsługa LTE 450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IPsec/VPN/GRE/L2TP/PPTP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lastRenderedPageBreak/>
        <w:t>- Zarządzanie i konserwacja przez Web/CLI/SMS/SNMP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Alarmowanie przez SMS/Email/SNMP trap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Montaż na szynie DIN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Możliwość zrestartowania urządzenia poprzez SMS/w zaprogramowanym czasie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Interfejs ETH 1 x 10/100 Mbps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RS 232, 300 bps to 230400 bps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RS 485, 300 bps to 230400 bps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USB 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Protokoły PPP, PPPoE, TCP, UDP, DHCP, ICMP, NAT, HTTP, HTTPs, DNS, ARP, NTP, SMTP, Telnet, VLAN, SSH2, DDNS, etc.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Porty szeregowe tryby pracy przeźroczysty, TCP Client/Server , UDP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2. Dostarczyć zamontować i uruchomić kamerę o parametrach: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minimum 4-megapikselowy przetwornik,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obraz o wysokim kontraście bez poruszenia nawet w warunkach słabego  oświetlenia,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mechaniczny filtr podczerwieni,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oświetlacz IR o zasięgu minimum 25m,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bez grzałek, wentylatorów,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en-US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 xml:space="preserve">kompresja dla głównego źródła strumienia min. </w:t>
      </w:r>
      <w:r w:rsidRPr="003A6FA0">
        <w:rPr>
          <w:rFonts w:ascii="Arial" w:eastAsia="Bookman Old Style" w:hAnsi="Arial" w:cs="Arial"/>
          <w:sz w:val="22"/>
          <w:szCs w:val="22"/>
          <w:lang w:val="en-US" w:eastAsia="en-US"/>
        </w:rPr>
        <w:t>H.265,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en-US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val="en-US" w:eastAsia="en-US"/>
        </w:rPr>
        <w:t>- wbudowane funkcje HLC(Highlight Compensation), BLC(Backlight Compensation),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obudowa wandaloodporna min IK10,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brak licencji lub opłat za oprogramowanie, bezpłatne aktualizacje,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możliwość powiadamiana o zdarzeniach poprzez e-mail,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możliwość rejestracji na karcie pamięci SD w kamerze,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wbudowana karta pamięci SD 64 GB,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val="x-none"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możliwość podłączenia kamery poprzez sieć WAN do NAS lub rejestratora,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- </w:t>
      </w:r>
      <w:r w:rsidRPr="003A6FA0">
        <w:rPr>
          <w:rFonts w:ascii="Arial" w:eastAsia="Bookman Old Style" w:hAnsi="Arial" w:cs="Arial"/>
          <w:sz w:val="22"/>
          <w:szCs w:val="22"/>
          <w:lang w:val="x-none" w:eastAsia="en-US"/>
        </w:rPr>
        <w:t>zasilanie PoE</w:t>
      </w:r>
      <w:r w:rsidRPr="003A6FA0">
        <w:rPr>
          <w:rFonts w:ascii="Arial" w:eastAsia="Bookman Old Style" w:hAnsi="Arial" w:cs="Arial"/>
          <w:sz w:val="22"/>
          <w:szCs w:val="22"/>
          <w:lang w:eastAsia="en-US"/>
        </w:rPr>
        <w:t>,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Kamerę zamontować w pomieszczeniu nastawni w taki sposób, aby monitorowała szafę telekomunikacyjną SUT.</w:t>
      </w:r>
    </w:p>
    <w:p w:rsidR="003A6FA0" w:rsidRPr="003A6FA0" w:rsidRDefault="003A6FA0" w:rsidP="003A6FA0">
      <w:pPr>
        <w:spacing w:before="0" w:after="0" w:line="276" w:lineRule="auto"/>
        <w:ind w:left="284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0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W zakresie wyposażenia pola SN w układ pomiarowo-kontrolny</w:t>
      </w:r>
    </w:p>
    <w:p w:rsidR="003A6FA0" w:rsidRPr="003A6FA0" w:rsidRDefault="003A6FA0" w:rsidP="003A6FA0">
      <w:pPr>
        <w:spacing w:before="0" w:after="0" w:line="276" w:lineRule="auto"/>
        <w:ind w:left="0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zakres dla każdego z pól tj:</w:t>
      </w:r>
    </w:p>
    <w:p w:rsidR="003A6FA0" w:rsidRPr="003A6FA0" w:rsidRDefault="003A6FA0" w:rsidP="003A6FA0">
      <w:pPr>
        <w:spacing w:before="0" w:after="0" w:line="276" w:lineRule="auto"/>
        <w:ind w:left="0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- 2 pola w sekcji 2 (numery 30 i 31)</w:t>
      </w:r>
    </w:p>
    <w:p w:rsidR="003A6FA0" w:rsidRPr="003A6FA0" w:rsidRDefault="003A6FA0" w:rsidP="003A6FA0">
      <w:pPr>
        <w:spacing w:before="0" w:after="0" w:line="276" w:lineRule="auto"/>
        <w:ind w:left="0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</w:p>
    <w:p w:rsidR="003A6FA0" w:rsidRPr="003A6FA0" w:rsidRDefault="003A6FA0" w:rsidP="003A6FA0">
      <w:pPr>
        <w:spacing w:before="0" w:after="0" w:line="276" w:lineRule="auto"/>
        <w:ind w:left="0" w:right="-24" w:firstLine="0"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Układy pomiarowe bilansowo-kontrolne w stacjach WN/SN powinny spełniać wymagania obowiązującej IRiESD i obowiązujących WBSE Tom 7  w szczególności:</w:t>
      </w:r>
    </w:p>
    <w:p w:rsidR="003A6FA0" w:rsidRPr="003A6FA0" w:rsidRDefault="003A6FA0" w:rsidP="003A6FA0">
      <w:pPr>
        <w:numPr>
          <w:ilvl w:val="0"/>
          <w:numId w:val="26"/>
        </w:numPr>
        <w:spacing w:before="0" w:after="0" w:line="276" w:lineRule="auto"/>
        <w:ind w:left="142" w:right="-24" w:hanging="142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Muszą być wyposażone w przekładniki prądowe o rdzeniach pomiarowych w klasie dokładności nie gorszej niż 0,2s  i napięciowe o  uzwojeniach pomiarowych w klasie dokładności nie gorszej niż 0,2 z dedykowanymi rdzeniami/uzwojeniami pomiarowymi  z uwzględnieniem możliwie najmniejszej liczby łączeń do licznikowych listew kontrolno-pomiarowych przystosowanych do plombowania. </w:t>
      </w:r>
    </w:p>
    <w:p w:rsidR="003A6FA0" w:rsidRPr="003A6FA0" w:rsidRDefault="003A6FA0" w:rsidP="003A6FA0">
      <w:pPr>
        <w:numPr>
          <w:ilvl w:val="0"/>
          <w:numId w:val="26"/>
        </w:numPr>
        <w:spacing w:before="0" w:after="0" w:line="276" w:lineRule="auto"/>
        <w:ind w:left="142" w:right="-24" w:hanging="142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Przekładniki napięciowe w układach bilansowo-kontrolnych należy zabezpieczyć po stronie uzwojenia wtórnego. </w:t>
      </w:r>
    </w:p>
    <w:p w:rsidR="003A6FA0" w:rsidRPr="003A6FA0" w:rsidRDefault="003A6FA0" w:rsidP="003A6FA0">
      <w:pPr>
        <w:numPr>
          <w:ilvl w:val="0"/>
          <w:numId w:val="26"/>
        </w:numPr>
        <w:spacing w:before="0" w:after="0" w:line="276" w:lineRule="auto"/>
        <w:ind w:left="142" w:right="-24" w:hanging="142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Nie należy stosować rezystorów dociążających dla przekładników napięciowych oraz prądowych. (poza technicznie niezbędnymi i uzasadnionymi przypadkami)</w:t>
      </w:r>
    </w:p>
    <w:p w:rsidR="003A6FA0" w:rsidRPr="003A6FA0" w:rsidRDefault="003A6FA0" w:rsidP="003A6FA0">
      <w:pPr>
        <w:numPr>
          <w:ilvl w:val="0"/>
          <w:numId w:val="26"/>
        </w:numPr>
        <w:spacing w:before="0" w:after="0" w:line="276" w:lineRule="auto"/>
        <w:ind w:left="142" w:right="-24" w:hanging="142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Współczynnik bezpieczeństwa przyrządu (FS) dla przekładników prądowych w układach pomiarowych powinien być ≤5.</w:t>
      </w:r>
    </w:p>
    <w:p w:rsidR="003A6FA0" w:rsidRPr="003A6FA0" w:rsidRDefault="003A6FA0" w:rsidP="003A6FA0">
      <w:pPr>
        <w:numPr>
          <w:ilvl w:val="0"/>
          <w:numId w:val="26"/>
        </w:numPr>
        <w:spacing w:before="0" w:after="0" w:line="276" w:lineRule="auto"/>
        <w:ind w:left="142" w:right="-24" w:hanging="142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Liczniki energii elektrycznej muszą być  statyczne, czterokwadrantowe, wielostrefowe, 3-fazowe z wbudowanym zegarem sterującym, wykonanie zgodne z obowiązującymi na </w:t>
      </w:r>
      <w:r w:rsidRPr="003A6FA0">
        <w:rPr>
          <w:rFonts w:ascii="Arial" w:eastAsia="Bookman Old Style" w:hAnsi="Arial" w:cs="Arial"/>
          <w:sz w:val="22"/>
          <w:szCs w:val="22"/>
          <w:lang w:eastAsia="en-US"/>
        </w:rPr>
        <w:lastRenderedPageBreak/>
        <w:t>obszarze Rzeczpospolitej Polskiej przepisami. Powinny mieć klasę dokładności nie gorszą niż C dla pomiaru energii czynnej nie gorszą niż 1 lub 1S dla pomiaru energii biernej. Dodatkowo muszą mieć możliwość zdalnej i lokalnej zmiany metody pomiaru i rejestracji energii z metody wektorowej na metodę arytmetyczną, rejestracje i przechowywanie w pamięci pomiarów wymaganych profili obciążenia oraz zapewniać odczyt lokalny w przypadku awarii łączy transmisyjnych lub w celach kontrolnych</w:t>
      </w:r>
    </w:p>
    <w:p w:rsidR="003A6FA0" w:rsidRPr="003A6FA0" w:rsidRDefault="003A6FA0" w:rsidP="003A6FA0">
      <w:pPr>
        <w:numPr>
          <w:ilvl w:val="0"/>
          <w:numId w:val="26"/>
        </w:numPr>
        <w:spacing w:before="0" w:after="0" w:line="276" w:lineRule="auto"/>
        <w:ind w:left="142" w:right="-24" w:hanging="142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 Muszą posiadać najmniej dwa niezależne interfejsy elektryczne typu RS485 lub RS 232 oraz port Ethernet (LAN)</w:t>
      </w:r>
    </w:p>
    <w:p w:rsidR="003A6FA0" w:rsidRPr="003A6FA0" w:rsidRDefault="003A6FA0" w:rsidP="003A6FA0">
      <w:pPr>
        <w:numPr>
          <w:ilvl w:val="0"/>
          <w:numId w:val="26"/>
        </w:numPr>
        <w:spacing w:before="0" w:after="0" w:line="276" w:lineRule="auto"/>
        <w:ind w:left="142" w:right="-24" w:hanging="142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Z liczników energii elektrycznej należy wyprowadzić zdalną transmisję danych pomiarowych dwutorową.  Interfejs Ethernet 10/100 Mbps (gniazdo RJ-45) jako drogę podstawową oraz gprs (w technologii LTE 450+4G) jako rezerwową drogę transmisji danych  za pośrednictwem wyjść cyfrowych</w:t>
      </w:r>
    </w:p>
    <w:p w:rsidR="003A6FA0" w:rsidRPr="003A6FA0" w:rsidRDefault="003A6FA0" w:rsidP="003A6FA0">
      <w:pPr>
        <w:numPr>
          <w:ilvl w:val="0"/>
          <w:numId w:val="26"/>
        </w:numPr>
        <w:spacing w:before="0" w:after="0" w:line="276" w:lineRule="auto"/>
        <w:ind w:left="142" w:right="-24" w:hanging="142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>Układy pomiarowe należy instalować w oddzielnych szafach pomiarowych zlokalizowanych w pomieszczeniach nastawni. Jeżeli szafy nie występują to należy jest zamontować lub dostawić.</w:t>
      </w:r>
    </w:p>
    <w:p w:rsidR="003A6FA0" w:rsidRPr="003A6FA0" w:rsidRDefault="003A6FA0" w:rsidP="003A6FA0">
      <w:pPr>
        <w:numPr>
          <w:ilvl w:val="0"/>
          <w:numId w:val="26"/>
        </w:numPr>
        <w:spacing w:before="0" w:after="0" w:line="276" w:lineRule="auto"/>
        <w:ind w:left="142" w:right="-24" w:hanging="142"/>
        <w:contextualSpacing/>
        <w:rPr>
          <w:rFonts w:ascii="Arial" w:eastAsia="Bookman Old Style" w:hAnsi="Arial" w:cs="Arial"/>
          <w:sz w:val="22"/>
          <w:szCs w:val="22"/>
          <w:lang w:eastAsia="en-US"/>
        </w:rPr>
      </w:pPr>
      <w:r w:rsidRPr="003A6FA0">
        <w:rPr>
          <w:rFonts w:ascii="Arial" w:eastAsia="Bookman Old Style" w:hAnsi="Arial" w:cs="Arial"/>
          <w:sz w:val="22"/>
          <w:szCs w:val="22"/>
          <w:lang w:eastAsia="en-US"/>
        </w:rPr>
        <w:t xml:space="preserve">Listwy kontrolno-pomiarowe muszą posiadać zaciski sprężynowe do podłączania obwodów wtórnych układów pomiarowych zabezpieczania (w postaci bezpieczników topikowych) w torach napięciowych jeżeli warunki zwarciowe tego wymagają, powinny umożliwiać połącznie urządzenia kontrolnego (np. analizator obwodów trójfazowych, licznik kontrolny)  </w:t>
      </w:r>
    </w:p>
    <w:p w:rsidR="003A6FA0" w:rsidRPr="003A6FA0" w:rsidRDefault="003A6FA0" w:rsidP="003A6FA0">
      <w:pPr>
        <w:spacing w:before="0" w:after="0" w:line="276" w:lineRule="auto"/>
        <w:ind w:left="142" w:right="-24" w:hanging="142"/>
        <w:rPr>
          <w:rFonts w:ascii="Arial" w:eastAsia="Bookman Old Style" w:hAnsi="Arial" w:cs="Arial"/>
          <w:sz w:val="22"/>
          <w:szCs w:val="22"/>
          <w:lang w:eastAsia="en-US"/>
        </w:rPr>
      </w:pPr>
    </w:p>
    <w:p w:rsidR="003B1B69" w:rsidRDefault="003A6FA0" w:rsidP="003A6FA0">
      <w:pPr>
        <w:pStyle w:val="Nagwek1"/>
        <w:numPr>
          <w:ilvl w:val="0"/>
          <w:numId w:val="0"/>
        </w:numPr>
        <w:ind w:left="432" w:hanging="432"/>
        <w:rPr>
          <w:rFonts w:ascii="Arial" w:eastAsia="Bookman Old Style" w:hAnsi="Arial" w:cs="Arial"/>
          <w:b w:val="0"/>
          <w:iCs/>
          <w:sz w:val="22"/>
          <w:szCs w:val="22"/>
          <w:lang w:val="pl-PL" w:eastAsia="en-US"/>
        </w:rPr>
      </w:pPr>
      <w:r w:rsidRPr="003A6FA0">
        <w:rPr>
          <w:rFonts w:ascii="Arial" w:eastAsia="Bookman Old Style" w:hAnsi="Arial" w:cs="Arial"/>
          <w:b w:val="0"/>
          <w:iCs/>
          <w:sz w:val="22"/>
          <w:szCs w:val="22"/>
          <w:lang w:val="pl-PL" w:eastAsia="en-US"/>
        </w:rPr>
        <w:t>Uwaga: Wszystkie urządzenia, elementy układów pomiarowych dostarcza wykonawca.</w:t>
      </w:r>
    </w:p>
    <w:p w:rsidR="003A6FA0" w:rsidRPr="003A6FA0" w:rsidRDefault="003A6FA0" w:rsidP="003A6FA0">
      <w:pPr>
        <w:spacing w:before="0" w:after="200" w:line="276" w:lineRule="auto"/>
        <w:ind w:left="0" w:firstLine="0"/>
        <w:jc w:val="left"/>
        <w:rPr>
          <w:rFonts w:ascii="Calibri" w:eastAsiaTheme="minorHAnsi" w:hAnsi="Calibri" w:cs="Calibri"/>
          <w:b/>
          <w:color w:val="FF0000"/>
          <w:sz w:val="22"/>
          <w:szCs w:val="22"/>
          <w:lang w:eastAsia="en-US"/>
        </w:rPr>
      </w:pPr>
      <w:r w:rsidRPr="003A6FA0">
        <w:rPr>
          <w:rFonts w:ascii="Calibri" w:eastAsiaTheme="minorHAnsi" w:hAnsi="Calibri" w:cs="Calibri"/>
          <w:b/>
          <w:color w:val="FF0000"/>
          <w:sz w:val="22"/>
          <w:szCs w:val="22"/>
          <w:lang w:eastAsia="en-US"/>
        </w:rPr>
        <w:t>Po zakończeniu prac Wykonawca zobowiązany jest do wykonania testów układu SCO zakończonego protokołem odbioru zgodnie z INST 30171/A – zał. nr 3 do instrukcji</w:t>
      </w:r>
    </w:p>
    <w:p w:rsidR="003A6FA0" w:rsidRPr="003A6FA0" w:rsidRDefault="003A6FA0" w:rsidP="003A6FA0">
      <w:pPr>
        <w:rPr>
          <w:lang w:eastAsia="en-US"/>
        </w:rPr>
      </w:pPr>
      <w:r w:rsidRPr="003A6FA0">
        <w:rPr>
          <w:rFonts w:ascii="Calibri" w:eastAsiaTheme="minorHAnsi" w:hAnsi="Calibri" w:cs="Calibri"/>
          <w:b/>
          <w:color w:val="FF0000"/>
          <w:sz w:val="22"/>
          <w:szCs w:val="22"/>
          <w:lang w:eastAsia="en-US"/>
        </w:rPr>
        <w:t xml:space="preserve"> Czas zadziałania SCO, mierzony od chwili przekroczenia nastawionego progu działania przez opadającą częstotliwość, do chwili zamknięcia zestyku sterującego wyłącznikiem, zapewniający równocześnie odporność przekaźnika SCO na zakłócenia występujące w sieci inne niż opadająca w wyniku deficytu mocy czynnej częstotliwość, powinien być mniejszy niż 80ms. Czas ten musi obejmować logikę wyłączania z SCO powiązaną z kierunkiem przepływu mocy czynnej</w:t>
      </w:r>
    </w:p>
    <w:p w:rsidR="00121410" w:rsidRDefault="00121410" w:rsidP="003B1B69">
      <w:pPr>
        <w:pStyle w:val="Nagwek1"/>
      </w:pPr>
      <w:r w:rsidRPr="00121410">
        <w:t>Przygotowanie dokumentacji projektowej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2" w:name="_Toc312846238"/>
      <w:r w:rsidRPr="00A71BDA">
        <w:rPr>
          <w:rFonts w:ascii="Calibri" w:hAnsi="Calibri"/>
          <w:b/>
          <w:sz w:val="22"/>
        </w:rPr>
        <w:t>Wymagania ogólne</w:t>
      </w:r>
      <w:bookmarkEnd w:id="2"/>
    </w:p>
    <w:p w:rsidR="00A71BDA" w:rsidRPr="00A71BDA" w:rsidRDefault="00A71BDA" w:rsidP="005776CB">
      <w:pPr>
        <w:widowControl w:val="0"/>
        <w:numPr>
          <w:ilvl w:val="0"/>
          <w:numId w:val="14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Zamówienie w zakresie dokumentacji projektowej obejmuje, uzyskanie kompletnej dokumentacji projektowej  (w tym projektu budowlanego i projektu wykonawczego) dla budowy urządzeń elektroenergetycznych, sporządzonej zgodnie z normami, przepisami, zasadami współczesnej wiedzy technicznej, przepisami BHP, a w szczególności: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3" w:name="_Toc312846239"/>
      <w:r w:rsidRPr="00A71BDA">
        <w:rPr>
          <w:rFonts w:ascii="Calibri" w:hAnsi="Calibri"/>
          <w:color w:val="000000"/>
          <w:sz w:val="22"/>
          <w:szCs w:val="22"/>
        </w:rPr>
        <w:t>Przepisami Prawa Budowlanego i Prawa Energetycznego.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>Rozporządzeniem Ministra Infrastruktury z dnia 2 września 2004 r. w sprawie szczegółowego zakresu i formy dokumentacji projektowej.</w:t>
      </w:r>
    </w:p>
    <w:p w:rsidR="00A71BDA" w:rsidRPr="0052169C" w:rsidRDefault="0052169C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52169C">
        <w:rPr>
          <w:rFonts w:ascii="Calibri" w:hAnsi="Calibri"/>
          <w:color w:val="000000"/>
          <w:sz w:val="22"/>
          <w:szCs w:val="22"/>
        </w:rPr>
        <w:t xml:space="preserve">Rozporządzeniem Ministra Transportu, Budownictwa i Gospodarki Morskiej z dnia </w:t>
      </w:r>
      <w:r>
        <w:rPr>
          <w:rFonts w:ascii="Calibri" w:hAnsi="Calibri"/>
          <w:color w:val="000000"/>
          <w:sz w:val="22"/>
          <w:szCs w:val="22"/>
        </w:rPr>
        <w:br/>
      </w:r>
      <w:r w:rsidRPr="0052169C">
        <w:rPr>
          <w:rFonts w:ascii="Calibri" w:hAnsi="Calibri"/>
          <w:color w:val="000000"/>
          <w:sz w:val="22"/>
          <w:szCs w:val="22"/>
        </w:rPr>
        <w:t>25 kwietnia 2012 r. w sprawie szczegółowego zakresu i formy projektu budowlanego.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bCs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 xml:space="preserve">Dokumentacja powinna zawierać wszystkie niezbędne uzgodnienia i ostateczne decyzje uprawniające Zamawiającego do </w:t>
      </w:r>
      <w:r w:rsidRPr="00A71BDA">
        <w:rPr>
          <w:rFonts w:ascii="Calibri" w:hAnsi="Calibri"/>
          <w:bCs/>
          <w:color w:val="000000"/>
          <w:sz w:val="22"/>
          <w:szCs w:val="22"/>
        </w:rPr>
        <w:t>przebudowy sieci elektroenergetycznej w/w zakresie</w:t>
      </w:r>
    </w:p>
    <w:p w:rsidR="00C2698E" w:rsidRPr="00EC58AA" w:rsidRDefault="00C2698E" w:rsidP="005776CB">
      <w:pPr>
        <w:numPr>
          <w:ilvl w:val="0"/>
          <w:numId w:val="18"/>
        </w:numPr>
        <w:spacing w:before="0" w:after="0"/>
        <w:rPr>
          <w:rStyle w:val="Hipercze"/>
          <w:rFonts w:asciiTheme="minorHAnsi" w:hAnsiTheme="minorHAnsi"/>
          <w:color w:val="auto"/>
          <w:sz w:val="22"/>
          <w:szCs w:val="22"/>
          <w:lang w:val="x-none" w:eastAsia="x-none"/>
        </w:rPr>
      </w:pPr>
      <w:r w:rsidRPr="00EC58AA">
        <w:rPr>
          <w:rFonts w:ascii="Calibri" w:hAnsi="Calibri"/>
          <w:sz w:val="22"/>
          <w:szCs w:val="22"/>
        </w:rPr>
        <w:t xml:space="preserve">Rozwiązania techniczne, zastosowanie materiałów i urządzeń elektroenergetycznych winny być zgodne z obowiązującymi w PGE Dystrybucja S.A. Oddział Łódź standardami </w:t>
      </w:r>
      <w:r w:rsidRPr="00EC58AA">
        <w:rPr>
          <w:rFonts w:ascii="Calibri" w:hAnsi="Calibri"/>
          <w:sz w:val="22"/>
          <w:szCs w:val="22"/>
        </w:rPr>
        <w:lastRenderedPageBreak/>
        <w:t>budowy urządzeń objętych w opracowaniu „Wytyczne do budowy systemów elektroenergetycznych w PGE Dystrybucja S.A.”</w:t>
      </w:r>
      <w:r w:rsidRPr="00EC58AA">
        <w:t xml:space="preserve"> </w:t>
      </w:r>
      <w:r w:rsidRPr="00EC58AA">
        <w:rPr>
          <w:rFonts w:ascii="Calibri" w:hAnsi="Calibri"/>
          <w:sz w:val="22"/>
          <w:szCs w:val="22"/>
        </w:rPr>
        <w:t xml:space="preserve">dostępne na stronie </w:t>
      </w:r>
      <w:hyperlink r:id="rId12" w:history="1"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http://www.pgedystrybucja.pl/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eastAsia="x-none"/>
          </w:rPr>
          <w:t>strefa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-klienta/przydatne-dokumenty</w:t>
        </w:r>
      </w:hyperlink>
      <w:r w:rsidR="008954EC">
        <w:rPr>
          <w:rStyle w:val="Hipercze"/>
          <w:rFonts w:asciiTheme="minorHAnsi" w:hAnsiTheme="minorHAnsi"/>
          <w:color w:val="auto"/>
          <w:sz w:val="22"/>
          <w:szCs w:val="22"/>
          <w:lang w:eastAsia="x-none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>Zakres dokumentacji projektowej</w:t>
      </w:r>
      <w:bookmarkEnd w:id="3"/>
    </w:p>
    <w:p w:rsidR="00A71BDA" w:rsidRPr="00A71BDA" w:rsidRDefault="00A71BDA" w:rsidP="00A71BDA">
      <w:pPr>
        <w:ind w:left="0" w:firstLine="426"/>
        <w:rPr>
          <w:rFonts w:ascii="Calibri" w:hAnsi="Calibri"/>
          <w:sz w:val="22"/>
          <w:szCs w:val="22"/>
        </w:rPr>
      </w:pPr>
      <w:r w:rsidRPr="00A71BDA">
        <w:rPr>
          <w:rFonts w:ascii="Calibri" w:hAnsi="Calibri"/>
          <w:sz w:val="22"/>
          <w:szCs w:val="22"/>
        </w:rPr>
        <w:t>Zamówienie w zakresie dokumentacji projektowej obejmuje w szczególności: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przez Wykonawcę kompletu niezbędnych map, podkładów i inwentaryzacji geodezyjnej oraz ich aktualizacji.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w zakresie każdej nieruchomości, na której zlokalizowane są urządzenia elektroenergetyczne w zakresie niezbędnym do wykonania zadania, aktualnego wypisu z ewidencji gruntów i sprawdzenie wypisu poprzez porównanie z zapisami Ksiąg Wieczystych. Sporządzenie wykazu właścicieli gruntów, na których zlokalizowane są urządzenia elektroenergetyczne w zakresie niezbędnym do wykonania zadania.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Przygotowanie z opisem, wypełnienie oraz podpisanie wszystkich wniosków w imieniu Zamawiającego do urzędów administracji państwowej, terytorialnej i  terenowej o wydanie wszystkich decyzji związanych z wykonywaniem dokumentacji projektowej oraz udzielenie wszelkich wyjaśnień w Urzędach Administracyjnych (w tym również reprezentowanie Zamawiającego w postępowaniach administracyjnych i sądowych), a dotyczących w/w wniosków. 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Pokrycie wszelkich opłat wynikających z obowiązujących przepisów związanych z uzyskaniem dokumentacji prawnej.</w:t>
      </w:r>
    </w:p>
    <w:p w:rsidR="00C2698E" w:rsidRPr="00EC58AA" w:rsidRDefault="00C2698E" w:rsidP="005776CB">
      <w:pPr>
        <w:widowControl w:val="0"/>
        <w:numPr>
          <w:ilvl w:val="0"/>
          <w:numId w:val="15"/>
        </w:numPr>
        <w:spacing w:before="0" w:after="0"/>
        <w:outlineLvl w:val="3"/>
        <w:rPr>
          <w:rFonts w:ascii="Calibri" w:hAnsi="Calibri" w:cs="Calibri"/>
          <w:sz w:val="22"/>
          <w:szCs w:val="22"/>
        </w:rPr>
      </w:pPr>
      <w:r w:rsidRPr="00EC58AA">
        <w:rPr>
          <w:rFonts w:ascii="Calibri" w:hAnsi="Calibri" w:cs="Calibri"/>
          <w:sz w:val="22"/>
          <w:szCs w:val="22"/>
        </w:rPr>
        <w:t xml:space="preserve">Opracowanie </w:t>
      </w:r>
      <w:r w:rsidR="009C5DE8">
        <w:rPr>
          <w:rFonts w:ascii="Calibri" w:hAnsi="Calibri" w:cs="Calibri"/>
          <w:sz w:val="22"/>
          <w:szCs w:val="22"/>
        </w:rPr>
        <w:t>dokumentacji techniczno-prawnej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będzie przedłożona Zamawiającemu do uzgodnień i akceptacji. Uzgodnienie przez Zamawiającego dokumentacji nie zwalnia Wykonawcy od zrealizowania zakresu prac zgodnie z wiedzą techniczną.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musi być uzgodniona przez Zamawiającego przed zgłoszeniem wykonania robót budowlano – montażowych i ich rozpoczęciem.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budowie realizowanej według wykonanej przez siebie dokumentacji projektowej, w zakresie czynności wynikających z Prawa Budowlanego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Uzyskanie prawomocnego pozwolenia na budowę lub niezakwestionowanego </w:t>
      </w:r>
      <w:r w:rsidRPr="00A71BDA">
        <w:rPr>
          <w:rFonts w:ascii="Calibri" w:hAnsi="Calibri"/>
          <w:color w:val="000000"/>
          <w:sz w:val="22"/>
          <w:u w:val="single"/>
        </w:rPr>
        <w:t>zgłoszenia robót do Starostwa Powiatowego</w:t>
      </w:r>
      <w:r w:rsidRPr="00A71BDA">
        <w:rPr>
          <w:rFonts w:ascii="Calibri" w:hAnsi="Calibri"/>
          <w:color w:val="000000"/>
          <w:sz w:val="22"/>
        </w:rPr>
        <w:t>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 dokumentacji  projektowej  utrzymać zgodność  nadanych oznakowań, opisów,  relacji, identyfikujących urządzenia w terenie.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4" w:name="_Toc312846240"/>
      <w:r w:rsidRPr="00A71BDA">
        <w:rPr>
          <w:rFonts w:ascii="Calibri" w:hAnsi="Calibri"/>
          <w:b/>
          <w:sz w:val="22"/>
        </w:rPr>
        <w:t>Nabywanie praw do nieruchomości</w:t>
      </w:r>
      <w:bookmarkEnd w:id="4"/>
    </w:p>
    <w:p w:rsidR="00F135BF" w:rsidRPr="00F135BF" w:rsidRDefault="00F135BF" w:rsidP="00F135BF">
      <w:pPr>
        <w:pStyle w:val="Akapitzlist"/>
        <w:spacing w:before="0" w:after="0"/>
        <w:ind w:left="360" w:firstLine="0"/>
        <w:rPr>
          <w:rFonts w:ascii="Calibri" w:hAnsi="Calibri" w:cs="Calibri"/>
          <w:sz w:val="22"/>
          <w:szCs w:val="22"/>
        </w:rPr>
      </w:pPr>
      <w:bookmarkStart w:id="5" w:name="_Toc312846241"/>
      <w:r w:rsidRPr="00F135BF">
        <w:rPr>
          <w:rFonts w:ascii="Calibri" w:hAnsi="Calibri" w:cs="Calibri"/>
          <w:sz w:val="22"/>
          <w:szCs w:val="22"/>
        </w:rPr>
        <w:t>Wykonawca zobowiązany jest do uzyskania, w imieniu i na rzecz Zamawiającego, praw do dysponowania nieruchomościami na cele budowlane oraz ich udostępnienia w celu budowy sieci i urządzeń energetycznych oraz ich późniejszej eksploatacji. W tym zakresie Wykonawca odpowiada za: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Calibri"/>
          <w:sz w:val="22"/>
          <w:szCs w:val="22"/>
        </w:rPr>
        <w:t xml:space="preserve">przeprowadzenie </w:t>
      </w:r>
      <w:r w:rsidRPr="00F135BF">
        <w:rPr>
          <w:rFonts w:ascii="Calibri" w:hAnsi="Calibri" w:cs="Arial"/>
          <w:sz w:val="22"/>
          <w:szCs w:val="22"/>
        </w:rPr>
        <w:t xml:space="preserve">negocjacji z właścicielami lub użytkownikami wieczystymi nieruchomości, których celem jest pozyskanie tytułu prawnego do nieruchomości lub –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w razie takiej konieczności - przeprowadzenie rokowań poprzedzających wszczęcie postępowania administracyjnego w przedmiocie ograniczenia sposobu korzystania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z nieruchomości na podstawy przepisów ustawy Ustawa z dnia 21 sierpnia 1997 r.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o gospodarce nieruchomościami (t.j. Dz. U. z 2024 r. poz. 1145),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</w:t>
      </w:r>
      <w:r w:rsidRPr="00F135BF">
        <w:rPr>
          <w:rFonts w:ascii="Calibri" w:hAnsi="Calibri" w:cs="Arial"/>
          <w:sz w:val="22"/>
          <w:szCs w:val="22"/>
        </w:rPr>
        <w:lastRenderedPageBreak/>
        <w:t xml:space="preserve">nieruchomości w celu budowy sieci i urządzeń energetycznych oraz ich późniejszej eksploatacji oraz warunków ustanowienia w służebności przesyłu, w oparciu o wzór porozumienia udostępniony przez Zamawiającego, 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F135BF" w:rsidRPr="00F135BF" w:rsidRDefault="00F135BF" w:rsidP="00F135BF">
      <w:pPr>
        <w:ind w:left="720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inwestycji z zakresu sieci SN i nN Zamawiający wymaga pozyskania: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obiektów kubaturowych takich jak stacje SN/nN oraz złącza kablowe SN – trwałego tytułu do nieruchomości w postaci służebności przesyłu lub decyzji administracyjnie ograniczającej sposób korzystania z nieruchomości,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dla obiektów liniowych SN i nN – trwałego tytułu do nieruchomości (j.w.) lub umowy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z właścicielami/użytkownikami wieczystymi nieruchomości.</w:t>
      </w:r>
    </w:p>
    <w:p w:rsidR="00C2698E" w:rsidRPr="00D41BF7" w:rsidRDefault="00F135BF" w:rsidP="00F135BF">
      <w:pPr>
        <w:widowControl w:val="0"/>
        <w:ind w:left="357" w:firstLine="0"/>
        <w:outlineLvl w:val="3"/>
        <w:rPr>
          <w:rFonts w:asciiTheme="minorHAnsi" w:hAnsiTheme="minorHAnsi" w:cstheme="minorHAnsi"/>
          <w:sz w:val="22"/>
          <w:szCs w:val="22"/>
          <w:u w:val="single"/>
        </w:rPr>
      </w:pPr>
      <w:r w:rsidRPr="00F135BF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F135BF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F135BF">
        <w:rPr>
          <w:rFonts w:ascii="Calibri" w:hAnsi="Calibri" w:cs="Arial"/>
          <w:sz w:val="22"/>
          <w:szCs w:val="22"/>
        </w:rPr>
        <w:t xml:space="preserve">, które stanowią załącznik do dokumentacji zakupowej. </w:t>
      </w:r>
      <w:r w:rsidR="00C2698E" w:rsidRPr="00D41BF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 xml:space="preserve">Forma dokumentacji projektowej </w:t>
      </w:r>
      <w:bookmarkEnd w:id="5"/>
    </w:p>
    <w:p w:rsidR="00A71BDA" w:rsidRP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F15803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376C9B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C2698E" w:rsidRPr="00EC58AA" w:rsidRDefault="00C2698E" w:rsidP="005776CB">
      <w:pPr>
        <w:pStyle w:val="Styl1"/>
        <w:numPr>
          <w:ilvl w:val="0"/>
          <w:numId w:val="17"/>
        </w:numPr>
        <w:adjustRightInd/>
        <w:textAlignment w:val="auto"/>
        <w:outlineLvl w:val="3"/>
        <w:rPr>
          <w:rFonts w:asciiTheme="minorHAnsi" w:hAnsiTheme="minorHAnsi" w:cstheme="minorHAnsi"/>
          <w:b w:val="0"/>
        </w:rPr>
      </w:pPr>
      <w:r w:rsidRPr="00EC58AA">
        <w:rPr>
          <w:rFonts w:asciiTheme="minorHAnsi" w:hAnsiTheme="minorHAnsi" w:cstheme="minorHAnsi"/>
          <w:b w:val="0"/>
        </w:rPr>
        <w:t>W</w:t>
      </w:r>
      <w:r w:rsidRPr="00EC58AA">
        <w:rPr>
          <w:rFonts w:asciiTheme="minorHAnsi" w:hAnsiTheme="minorHAnsi" w:cstheme="minorHAnsi"/>
          <w:b w:val="0"/>
          <w:lang w:val="pl-PL"/>
        </w:rPr>
        <w:t xml:space="preserve"> </w:t>
      </w:r>
      <w:r w:rsidRPr="00EC58AA">
        <w:rPr>
          <w:rFonts w:asciiTheme="minorHAnsi" w:hAnsiTheme="minorHAnsi" w:cstheme="minorHAnsi"/>
          <w:b w:val="0"/>
        </w:rPr>
        <w:t xml:space="preserve">przekazanych dla Zamawiającego dokumentacjach winny znajdować się oryginały prawomocnych uzgodnień i decyzji wymaganych przepisami prawa oraz </w:t>
      </w:r>
      <w:r w:rsidRPr="00EC58AA">
        <w:rPr>
          <w:rFonts w:asciiTheme="minorHAnsi" w:eastAsia="SimSun" w:hAnsiTheme="minorHAnsi" w:cstheme="minorHAnsi"/>
          <w:b w:val="0"/>
        </w:rPr>
        <w:t>zgody (w formie odpowiednich dokumentów) właścicieli, użytkowników działek na których zlokalizowane są ww. urządzenia.</w:t>
      </w:r>
    </w:p>
    <w:p w:rsidR="001B67E1" w:rsidRDefault="001B67E1" w:rsidP="000D65D8">
      <w:pPr>
        <w:pStyle w:val="Nagwek1"/>
        <w:rPr>
          <w:lang w:val="pl-PL"/>
        </w:rPr>
      </w:pPr>
      <w:r w:rsidRPr="000D65D8">
        <w:rPr>
          <w:lang w:val="pl-PL"/>
        </w:rPr>
        <w:t>Wymagania techniczne:</w:t>
      </w:r>
    </w:p>
    <w:p w:rsidR="000D65D8" w:rsidRDefault="000D65D8" w:rsidP="00933BEE">
      <w:pPr>
        <w:pStyle w:val="Nagwek2"/>
        <w:rPr>
          <w:b/>
          <w:color w:val="auto"/>
        </w:rPr>
      </w:pPr>
      <w:r w:rsidRPr="000D65D8">
        <w:rPr>
          <w:b/>
          <w:color w:val="auto"/>
        </w:rPr>
        <w:t xml:space="preserve">Wymagania dla </w:t>
      </w:r>
      <w:r w:rsidRPr="000D65D8">
        <w:rPr>
          <w:b/>
          <w:color w:val="auto"/>
          <w:lang w:val="pl-PL"/>
        </w:rPr>
        <w:t>projektowanych urządzeń</w:t>
      </w:r>
      <w:r w:rsidRPr="000D65D8">
        <w:rPr>
          <w:b/>
          <w:color w:val="auto"/>
        </w:rPr>
        <w:t>:</w:t>
      </w:r>
    </w:p>
    <w:p w:rsidR="00112AF8" w:rsidRDefault="000D65D8" w:rsidP="000D65D8">
      <w:pPr>
        <w:ind w:left="357" w:firstLine="219"/>
        <w:rPr>
          <w:rFonts w:asciiTheme="minorHAnsi" w:hAnsiTheme="minorHAnsi" w:cstheme="minorHAnsi"/>
          <w:i/>
          <w:sz w:val="22"/>
          <w:szCs w:val="22"/>
          <w:lang w:eastAsia="x-none"/>
        </w:rPr>
      </w:pP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Parametry projektowanych urządzeń muszą być zgodne ze standardami przyjętymi w PGE</w:t>
      </w:r>
      <w:r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D</w:t>
      </w:r>
      <w:r w:rsidR="00EA57A9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ystrybucja.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Standardy te zostały określone w </w:t>
      </w:r>
      <w:r w:rsidRPr="000D65D8">
        <w:rPr>
          <w:rFonts w:asciiTheme="minorHAnsi" w:hAnsiTheme="minorHAnsi" w:cstheme="minorHAnsi"/>
          <w:i/>
          <w:sz w:val="22"/>
          <w:szCs w:val="22"/>
          <w:lang w:val="x-none" w:eastAsia="x-none"/>
        </w:rPr>
        <w:t>„Wytycznych do budowy systemów energetycznych w PGE Dystrybucja S.A.”</w:t>
      </w:r>
      <w:r>
        <w:rPr>
          <w:rFonts w:asciiTheme="minorHAnsi" w:hAnsiTheme="minorHAnsi" w:cstheme="minorHAnsi"/>
          <w:i/>
          <w:sz w:val="22"/>
          <w:szCs w:val="22"/>
          <w:lang w:eastAsia="x-none"/>
        </w:rPr>
        <w:t>.</w:t>
      </w:r>
    </w:p>
    <w:p w:rsidR="00AA13C3" w:rsidRDefault="00AA13C3" w:rsidP="00AA13C3">
      <w:pPr>
        <w:ind w:left="357" w:firstLine="219"/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Linia kablowa SN winna być zaprojektowana z żyłą powrotną miedzianą o przekroju 25 mm</w:t>
      </w:r>
      <w:r>
        <w:rPr>
          <w:rFonts w:asciiTheme="minorHAnsi" w:hAnsiTheme="minorHAnsi" w:cstheme="minorHAnsi"/>
          <w:color w:val="FF0000"/>
          <w:sz w:val="22"/>
          <w:szCs w:val="22"/>
          <w:vertAlign w:val="superscript"/>
          <w:lang w:val="x-none" w:eastAsia="x-none"/>
        </w:rPr>
        <w:t>2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,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co jest zgodne z treścią Wytycznych do budowy systemów elektroenergetycznych w PGE Dystrybucja S.A. w tomie pn. „Linie kablowe średniego napięcia – tom 4 – SUPLEMENT DO TOM 4”, o ile nie zachodzi szczególne uwarunkowanie techniczne do zastosowania większego przekroju opisane w „wytycznych” – tj. wyprowadzenie linii kablowej SN ze stacji WN/SN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odległości do 2km od stacji.</w:t>
      </w:r>
    </w:p>
    <w:p w:rsidR="00C2698E" w:rsidRPr="00AA13C3" w:rsidRDefault="00AA13C3" w:rsidP="00445C42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W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przypadku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gdy opracowanie dokumentacji projektowej obejmuje swym zakresem budowę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stacji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wnętrzowej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SN/nN lub złącza SN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,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wówczas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wyposażenie musi być zgodne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z treścią Wytycznych do budowy systemów elektroenergetycznych w PGE Dystrybucja S.A.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tomie pn. „Standardy techniczne złączy kablowych SN w PGE Dystrybucja S.A.”, „Standardy techniczne stacji transformatorowych wnętrzowych SN/nN w PGE Dystrybucja S.A.”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lastRenderedPageBreak/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12AF8" w:rsidRDefault="00112AF8" w:rsidP="005776CB">
      <w:pPr>
        <w:pStyle w:val="Akapitzlist"/>
        <w:numPr>
          <w:ilvl w:val="0"/>
          <w:numId w:val="9"/>
        </w:numPr>
        <w:rPr>
          <w:rFonts w:ascii="Calibri" w:hAnsi="Calibri"/>
          <w:bCs/>
          <w:sz w:val="22"/>
          <w:szCs w:val="22"/>
          <w:lang w:val="x-none" w:eastAsia="x-none"/>
        </w:rPr>
      </w:pPr>
      <w:r w:rsidRPr="00112AF8">
        <w:rPr>
          <w:rFonts w:ascii="Calibri" w:hAnsi="Calibri"/>
          <w:bCs/>
          <w:sz w:val="22"/>
          <w:szCs w:val="22"/>
          <w:lang w:val="x-none" w:eastAsia="x-none"/>
        </w:rPr>
        <w:t xml:space="preserve">Maksymalny czas wyłączeń odbiorców dla całej realizacji nie będzie trwał, łącznie w całym okresie wykonywania, nie dłużej niż: </w:t>
      </w:r>
      <w:r w:rsidR="00FF78DF">
        <w:rPr>
          <w:rFonts w:ascii="Calibri" w:hAnsi="Calibri"/>
          <w:b/>
          <w:bCs/>
          <w:sz w:val="22"/>
          <w:szCs w:val="22"/>
          <w:lang w:eastAsia="x-none"/>
        </w:rPr>
        <w:t>6</w:t>
      </w:r>
      <w:r w:rsidRPr="003B1B69">
        <w:rPr>
          <w:rFonts w:ascii="Calibri" w:hAnsi="Calibri"/>
          <w:b/>
          <w:bCs/>
          <w:sz w:val="22"/>
          <w:szCs w:val="22"/>
          <w:lang w:val="x-none" w:eastAsia="x-none"/>
        </w:rPr>
        <w:t xml:space="preserve"> godzin</w:t>
      </w:r>
      <w:r w:rsidR="00F8795A">
        <w:rPr>
          <w:rFonts w:ascii="Calibri" w:hAnsi="Calibri"/>
          <w:b/>
          <w:bCs/>
          <w:sz w:val="22"/>
          <w:szCs w:val="22"/>
          <w:lang w:eastAsia="x-none"/>
        </w:rPr>
        <w:t>y</w:t>
      </w:r>
      <w:r w:rsidR="00FF78DF">
        <w:rPr>
          <w:rFonts w:ascii="Calibri" w:hAnsi="Calibri"/>
          <w:b/>
          <w:bCs/>
          <w:sz w:val="22"/>
          <w:szCs w:val="22"/>
          <w:lang w:eastAsia="x-none"/>
        </w:rPr>
        <w:t xml:space="preserve"> – pole SN, 0 godzin – linie kablowe SN wraz ze złączami SN</w:t>
      </w:r>
    </w:p>
    <w:p w:rsidR="0048169F" w:rsidRPr="009C5DE8" w:rsidRDefault="0048169F" w:rsidP="0048169F">
      <w:pPr>
        <w:widowControl w:val="0"/>
        <w:numPr>
          <w:ilvl w:val="0"/>
          <w:numId w:val="9"/>
        </w:numPr>
        <w:adjustRightInd w:val="0"/>
        <w:spacing w:before="60" w:after="60"/>
        <w:ind w:left="1134" w:hanging="425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28591D">
        <w:rPr>
          <w:rFonts w:ascii="Calibri" w:hAnsi="Calibri"/>
          <w:bCs/>
          <w:strike/>
          <w:sz w:val="22"/>
          <w:szCs w:val="22"/>
          <w:lang w:eastAsia="x-none"/>
        </w:rPr>
        <w:t>Dla zadań związanych z przyłączaniem OZE do sieci SN, zostaje wprowadzony obowiązek podłączania nowych (ponownie przyłączanych) obiektów elektroenergetycznych do  sieci napowietrznej SN, obligatoryjnie w technice PPN. Podłączenie to będzie realizowane przez pracowników OŁD</w:t>
      </w:r>
      <w:r w:rsidRPr="009C5DE8">
        <w:rPr>
          <w:rFonts w:ascii="Calibri" w:hAnsi="Calibri"/>
          <w:bCs/>
          <w:sz w:val="22"/>
          <w:szCs w:val="22"/>
          <w:lang w:eastAsia="x-none"/>
        </w:rPr>
        <w:t xml:space="preserve">. </w:t>
      </w:r>
    </w:p>
    <w:p w:rsidR="0048169F" w:rsidRPr="009C5DE8" w:rsidRDefault="0048169F" w:rsidP="0048169F">
      <w:pPr>
        <w:pStyle w:val="Akapitzlist"/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9C5DE8">
        <w:rPr>
          <w:rFonts w:ascii="Calibri" w:hAnsi="Calibri"/>
          <w:bCs/>
          <w:sz w:val="22"/>
          <w:szCs w:val="22"/>
          <w:lang w:val="x-none" w:eastAsia="x-none"/>
        </w:rPr>
        <w:t xml:space="preserve">W celu dotrzymania maksymalnych czasów wyłączeń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:rsidR="0048169F" w:rsidRPr="00FF78DF" w:rsidRDefault="0048169F" w:rsidP="00FF78DF">
      <w:pPr>
        <w:pStyle w:val="Akapitzlist"/>
        <w:ind w:left="1080" w:firstLine="0"/>
        <w:rPr>
          <w:rFonts w:ascii="Calibri" w:hAnsi="Calibri"/>
          <w:bCs/>
          <w:color w:val="FF0000"/>
          <w:sz w:val="22"/>
          <w:szCs w:val="22"/>
          <w:lang w:eastAsia="x-none"/>
        </w:rPr>
      </w:pPr>
      <w:r w:rsidRPr="00502E75">
        <w:rPr>
          <w:rFonts w:ascii="Calibri" w:hAnsi="Calibri"/>
          <w:bCs/>
          <w:sz w:val="22"/>
          <w:szCs w:val="22"/>
          <w:lang w:val="x-none" w:eastAsia="x-none"/>
        </w:rPr>
        <w:t>Stacje transformatorowe 15/0,4 kV wskazane przez Zamawiającego do zasilania jednostkami prądotwórczymi:</w:t>
      </w:r>
      <w:r w:rsidR="00FF78DF">
        <w:rPr>
          <w:rFonts w:ascii="Calibri" w:hAnsi="Calibri"/>
          <w:bCs/>
          <w:sz w:val="22"/>
          <w:szCs w:val="22"/>
          <w:lang w:eastAsia="x-none"/>
        </w:rPr>
        <w:t xml:space="preserve"> </w:t>
      </w:r>
      <w:r w:rsidR="00FF78DF" w:rsidRPr="00FF78DF">
        <w:rPr>
          <w:rFonts w:ascii="Calibri" w:hAnsi="Calibri"/>
          <w:b/>
          <w:bCs/>
          <w:sz w:val="22"/>
          <w:szCs w:val="22"/>
          <w:lang w:eastAsia="x-none"/>
        </w:rPr>
        <w:t>BRAK</w:t>
      </w:r>
    </w:p>
    <w:p w:rsidR="001929AC" w:rsidRPr="00EC58AA" w:rsidRDefault="001929AC" w:rsidP="005776CB">
      <w:pPr>
        <w:pStyle w:val="Styl2"/>
        <w:numPr>
          <w:ilvl w:val="0"/>
          <w:numId w:val="9"/>
        </w:numPr>
      </w:pPr>
      <w:r w:rsidRPr="00EC58AA">
        <w:t xml:space="preserve">Zamawiający zobowiązuje Wykonawcę </w:t>
      </w:r>
      <w:r w:rsidRPr="00EC58AA">
        <w:rPr>
          <w:lang w:val="pl-PL"/>
        </w:rPr>
        <w:t>do złożenia</w:t>
      </w:r>
      <w:r w:rsidRPr="00EC58AA">
        <w:t xml:space="preserve"> w terminie </w:t>
      </w:r>
      <w:r w:rsidRPr="00EC58AA">
        <w:rPr>
          <w:lang w:val="pl-PL"/>
        </w:rPr>
        <w:t>10</w:t>
      </w:r>
      <w:r w:rsidRPr="00EC58AA">
        <w:t xml:space="preserve"> dni od momentu zawarcia umowy zgłoszenia i uzgodnienia Harmonogramu planowanych wyłączeń zgodnego ze złożoną ofertą (załączni</w:t>
      </w:r>
      <w:r w:rsidR="006C4C38">
        <w:t>k nr 1 do umowy)  i warunkami S</w:t>
      </w:r>
      <w:r w:rsidRPr="00EC58AA">
        <w:t>WZ</w:t>
      </w:r>
      <w:r w:rsidRPr="00EC58AA">
        <w:rPr>
          <w:lang w:val="pl-PL"/>
        </w:rPr>
        <w:t>, jednak nie później niż w terminie 21 dni przed planowanym terminem wyłączenia</w:t>
      </w:r>
      <w:r w:rsidRPr="00EC58AA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EC58AA">
        <w:rPr>
          <w:lang w:val="pl-PL"/>
        </w:rPr>
        <w:t>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Pr="0045757A">
        <w:t xml:space="preserve">„Instrukcji </w:t>
      </w:r>
      <w:r w:rsidRPr="0045757A">
        <w:rPr>
          <w:lang w:val="pl-PL"/>
        </w:rPr>
        <w:t>prowadzenia prac przez firmy zewnętrzne w systemie samodopuszczeń w sieci PGE Dystrybucja S.A</w:t>
      </w:r>
      <w:r w:rsidR="0074541C">
        <w:rPr>
          <w:lang w:val="pl-PL"/>
        </w:rPr>
        <w:t>. w Oddział Łódź</w:t>
      </w:r>
      <w:r w:rsidRPr="0045757A">
        <w:t>”</w:t>
      </w:r>
    </w:p>
    <w:p w:rsidR="00920C89" w:rsidRPr="00201B52" w:rsidRDefault="00920C89" w:rsidP="005776CB">
      <w:pPr>
        <w:pStyle w:val="Styl2"/>
        <w:numPr>
          <w:ilvl w:val="0"/>
          <w:numId w:val="9"/>
        </w:numPr>
        <w:rPr>
          <w:rStyle w:val="Odwoaniedokomentarza"/>
          <w:color w:val="000000" w:themeColor="text1"/>
          <w:sz w:val="22"/>
          <w:szCs w:val="22"/>
        </w:rPr>
      </w:pPr>
      <w:r w:rsidRPr="00201B52">
        <w:t>Wykonawca zapewnia prowadzenie prac na placu budowy pod nadzorem kierownika budowy wykonywanym w sposób ciągły</w:t>
      </w:r>
      <w:r>
        <w:rPr>
          <w:lang w:val="pl-PL"/>
        </w:rPr>
        <w:t>.</w:t>
      </w:r>
    </w:p>
    <w:p w:rsidR="0084499D" w:rsidRPr="0084499D" w:rsidRDefault="00920C89" w:rsidP="005776CB">
      <w:pPr>
        <w:pStyle w:val="Styl2"/>
        <w:numPr>
          <w:ilvl w:val="0"/>
          <w:numId w:val="9"/>
        </w:numPr>
      </w:pPr>
      <w:r>
        <w:rPr>
          <w:lang w:val="pl-PL"/>
        </w:rPr>
        <w:t xml:space="preserve">Na Wykonawcy spoczywa </w:t>
      </w:r>
      <w:r w:rsidRPr="0084499D">
        <w:t xml:space="preserve">obowiązek zakupu dziennika budowy i przekazania go do </w:t>
      </w:r>
      <w:r>
        <w:rPr>
          <w:lang w:val="pl-PL"/>
        </w:rPr>
        <w:t>Zamawiającego</w:t>
      </w:r>
      <w:r w:rsidR="003E1EC7">
        <w:rPr>
          <w:lang w:val="pl-PL"/>
        </w:rPr>
        <w:t xml:space="preserve"> </w:t>
      </w:r>
      <w:r w:rsidR="003E1EC7">
        <w:t>– jeżeli przedmiot prac tego wymaga</w:t>
      </w:r>
      <w:r w:rsidR="006E6D32">
        <w:rPr>
          <w:lang w:val="pl-PL"/>
        </w:rPr>
        <w:t>.</w:t>
      </w:r>
    </w:p>
    <w:p w:rsidR="0084499D" w:rsidRPr="00A31124" w:rsidRDefault="0084499D" w:rsidP="005776CB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>
        <w:rPr>
          <w:lang w:val="pl-PL"/>
        </w:rPr>
        <w:t>.</w:t>
      </w:r>
    </w:p>
    <w:p w:rsidR="00A218DE" w:rsidRPr="008951CE" w:rsidRDefault="00A218DE" w:rsidP="005776CB">
      <w:pPr>
        <w:pStyle w:val="Styl2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Osoby wykonując</w:t>
      </w:r>
      <w:r>
        <w:rPr>
          <w:rFonts w:asciiTheme="minorHAnsi" w:hAnsiTheme="minorHAnsi"/>
          <w:lang w:val="pl-PL"/>
        </w:rPr>
        <w:t>e</w:t>
      </w:r>
      <w:r w:rsidRPr="008951CE">
        <w:rPr>
          <w:rFonts w:asciiTheme="minorHAnsi" w:hAnsiTheme="minorHAnsi"/>
        </w:rPr>
        <w:t xml:space="preserve"> prace przy urządzeniach elektroenergetycznych eksploatowanych przez PG</w:t>
      </w:r>
      <w:r>
        <w:rPr>
          <w:rFonts w:asciiTheme="minorHAnsi" w:hAnsiTheme="minorHAnsi"/>
        </w:rPr>
        <w:t>E Dystrybucja S.A. Oddział Łódź</w:t>
      </w:r>
      <w:r w:rsidRPr="008951CE">
        <w:rPr>
          <w:rFonts w:asciiTheme="minorHAnsi" w:hAnsiTheme="minorHAnsi"/>
        </w:rPr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Pr="00E91CEB">
        <w:rPr>
          <w:rFonts w:asciiTheme="minorHAnsi" w:hAnsiTheme="minorHAnsi"/>
        </w:rPr>
        <w:t xml:space="preserve">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</w:t>
      </w:r>
      <w:r w:rsidRPr="0025697C">
        <w:rPr>
          <w:rFonts w:asciiTheme="minorHAnsi" w:hAnsiTheme="minorHAnsi"/>
        </w:rPr>
        <w:t xml:space="preserve">oraz „Zasadach prowadzenia </w:t>
      </w:r>
      <w:r w:rsidRPr="0025697C">
        <w:rPr>
          <w:rFonts w:asciiTheme="minorHAnsi" w:hAnsiTheme="minorHAnsi"/>
        </w:rPr>
        <w:lastRenderedPageBreak/>
        <w:t>prac przy budowie lub przebudowie stacji i linii elektroenergetycznych”</w:t>
      </w:r>
      <w:r w:rsidRPr="00E91CEB">
        <w:rPr>
          <w:rFonts w:asciiTheme="minorHAnsi" w:hAnsiTheme="minorHAnsi"/>
        </w:rPr>
        <w:t xml:space="preserve"> dostępnych na stronie internetowej Zamawiającego </w:t>
      </w:r>
      <w:hyperlink r:id="rId13" w:history="1">
        <w:r w:rsidR="0095007B" w:rsidRPr="00EB30A9">
          <w:rPr>
            <w:rStyle w:val="Hipercze"/>
            <w:rFonts w:asciiTheme="minorHAnsi" w:hAnsiTheme="minorHAnsi"/>
          </w:rPr>
          <w:t>http://pgedystrybucja.pl/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strefa</w:t>
        </w:r>
        <w:r w:rsidR="0095007B" w:rsidRPr="00EB30A9">
          <w:rPr>
            <w:rStyle w:val="Hipercze"/>
            <w:rFonts w:asciiTheme="minorHAnsi" w:hAnsiTheme="minorHAnsi"/>
          </w:rPr>
          <w:t>-klienta/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p</w:t>
        </w:r>
        <w:r w:rsidR="0095007B" w:rsidRPr="00EB30A9">
          <w:rPr>
            <w:rStyle w:val="Hipercze"/>
            <w:rFonts w:asciiTheme="minorHAnsi" w:hAnsiTheme="minorHAnsi"/>
          </w:rPr>
          <w:t>rzydatne-dokumenty</w:t>
        </w:r>
      </w:hyperlink>
      <w:r>
        <w:rPr>
          <w:rFonts w:asciiTheme="minorHAnsi" w:hAnsiTheme="minorHAnsi"/>
          <w:lang w:val="pl-PL"/>
        </w:rPr>
        <w:t xml:space="preserve">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32137D" w:rsidRPr="00EA57A9">
        <w:rPr>
          <w:bCs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4" w:history="1">
        <w:r w:rsidR="0095007B" w:rsidRPr="00EB30A9">
          <w:rPr>
            <w:rStyle w:val="Hipercze"/>
          </w:rPr>
          <w:t>http://www.pgedystrybucja.pl/</w:t>
        </w:r>
        <w:r w:rsidR="0095007B" w:rsidRPr="00EB30A9">
          <w:rPr>
            <w:rStyle w:val="Hipercze"/>
            <w:lang w:val="pl-PL"/>
          </w:rPr>
          <w:t>strefa</w:t>
        </w:r>
        <w:r w:rsidR="0095007B" w:rsidRPr="00EB30A9">
          <w:rPr>
            <w:rStyle w:val="Hipercze"/>
          </w:rPr>
          <w:t>-klienta/przydatne-dokumenty</w:t>
        </w:r>
      </w:hyperlink>
      <w:r w:rsidR="005F0EE1">
        <w:rPr>
          <w:lang w:val="pl-PL"/>
        </w:rPr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6C4C38">
        <w:rPr>
          <w:lang w:val="pl-PL"/>
        </w:rPr>
        <w:t xml:space="preserve"> </w:t>
      </w:r>
      <w:r w:rsidR="000C4FFF">
        <w:rPr>
          <w:lang w:val="pl-PL"/>
        </w:rPr>
        <w:t xml:space="preserve">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Dokumentację projektową (projekt budowlany i projekt wykonawczy)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Protokoły z przeprowadzonych pomiarów.</w:t>
      </w:r>
    </w:p>
    <w:p w:rsidR="00D41BF7" w:rsidRDefault="00D41BF7" w:rsidP="00D41BF7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2D0F48" w:rsidRPr="00590219" w:rsidRDefault="00D41BF7" w:rsidP="00D41BF7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2D0F48" w:rsidRPr="007E76DD" w:rsidRDefault="002D0F48" w:rsidP="005113AF">
      <w:pPr>
        <w:pStyle w:val="Styl2"/>
        <w:numPr>
          <w:ilvl w:val="0"/>
          <w:numId w:val="8"/>
        </w:numPr>
      </w:pPr>
      <w:r w:rsidRPr="00590219">
        <w:t xml:space="preserve">Kompletną dokumentację prawno - uzgodnieniową z oryginałami prawomocnych uzgodnień i decyzji wymaganych przepisami prawa. </w:t>
      </w:r>
    </w:p>
    <w:p w:rsidR="007E76DD" w:rsidRPr="007E76DD" w:rsidRDefault="007E76DD" w:rsidP="007E76DD">
      <w:pPr>
        <w:pStyle w:val="Styl2"/>
        <w:numPr>
          <w:ilvl w:val="0"/>
          <w:numId w:val="8"/>
        </w:numPr>
      </w:pPr>
      <w:r w:rsidRPr="007E76DD">
        <w:t>Dziennik Budowy (o ile jest wymagany przepisami)</w:t>
      </w:r>
    </w:p>
    <w:p w:rsidR="007E76DD" w:rsidRPr="000345BB" w:rsidRDefault="00FA1A2A" w:rsidP="007E76DD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</w:p>
    <w:p w:rsidR="00E2494B" w:rsidRPr="005B48F6" w:rsidRDefault="000345BB" w:rsidP="005B48F6">
      <w:pPr>
        <w:pStyle w:val="Styl2"/>
        <w:numPr>
          <w:ilvl w:val="0"/>
          <w:numId w:val="8"/>
        </w:numPr>
      </w:pPr>
      <w:r w:rsidRPr="007F5459">
        <w:t xml:space="preserve">Wykaz nowych przyporządkowań odbiorców do stacji po podziale sieci wraz </w:t>
      </w:r>
      <w:r w:rsidR="000C4FFF">
        <w:rPr>
          <w:lang w:val="pl-PL"/>
        </w:rPr>
        <w:br/>
      </w:r>
      <w:r w:rsidRPr="007F5459">
        <w:t>z ewentualnymi zmianami sposobu ich zasilania</w:t>
      </w:r>
    </w:p>
    <w:p w:rsidR="00A87F37" w:rsidRPr="00A87F37" w:rsidRDefault="00A87F37" w:rsidP="00A87F37">
      <w:pPr>
        <w:pStyle w:val="Akapitzlist"/>
        <w:ind w:left="1080" w:firstLine="0"/>
        <w:rPr>
          <w:rFonts w:asciiTheme="minorHAnsi" w:hAnsiTheme="minorHAnsi" w:cstheme="minorHAnsi"/>
          <w:b/>
          <w:u w:val="single"/>
          <w:lang w:eastAsia="x-none"/>
        </w:rPr>
      </w:pPr>
      <w:r w:rsidRPr="00A87F37">
        <w:rPr>
          <w:rFonts w:asciiTheme="minorHAnsi" w:hAnsiTheme="minorHAnsi" w:cstheme="minorHAnsi"/>
          <w:b/>
          <w:u w:val="single"/>
          <w:lang w:eastAsia="x-none"/>
        </w:rPr>
        <w:t>Załączniki:</w:t>
      </w:r>
    </w:p>
    <w:p w:rsidR="000105D7" w:rsidRPr="004D3A15" w:rsidRDefault="00C82CC9" w:rsidP="00C82CC9">
      <w:pPr>
        <w:pStyle w:val="Akapitzlist"/>
        <w:numPr>
          <w:ilvl w:val="0"/>
          <w:numId w:val="21"/>
        </w:numPr>
        <w:rPr>
          <w:rFonts w:asciiTheme="minorHAnsi" w:hAnsiTheme="minorHAnsi"/>
          <w:lang w:eastAsia="x-none"/>
        </w:rPr>
      </w:pPr>
      <w:r w:rsidRPr="00C82CC9">
        <w:rPr>
          <w:rFonts w:asciiTheme="minorHAnsi" w:hAnsiTheme="minorHAnsi"/>
          <w:lang w:eastAsia="x-none"/>
        </w:rPr>
        <w:t>Warunki przyłączenia dla zadania</w:t>
      </w:r>
      <w:r w:rsidR="000105D7">
        <w:rPr>
          <w:rFonts w:asciiTheme="minorHAnsi" w:hAnsiTheme="minorHAnsi"/>
          <w:lang w:eastAsia="x-none"/>
        </w:rPr>
        <w:t xml:space="preserve">. </w:t>
      </w:r>
    </w:p>
    <w:p w:rsidR="00A87F37" w:rsidRDefault="00A87F37" w:rsidP="00A87F37">
      <w:pPr>
        <w:pStyle w:val="Akapitzlist"/>
        <w:ind w:left="1080" w:firstLine="0"/>
        <w:rPr>
          <w:rFonts w:asciiTheme="minorHAnsi" w:hAnsiTheme="minorHAnsi"/>
          <w:lang w:eastAsia="x-none"/>
        </w:rPr>
      </w:pPr>
    </w:p>
    <w:p w:rsidR="00A076B3" w:rsidRPr="005C400D" w:rsidRDefault="00A076B3" w:rsidP="005C400D">
      <w:pPr>
        <w:ind w:left="0" w:firstLine="0"/>
      </w:pPr>
    </w:p>
    <w:sectPr w:rsidR="00A076B3" w:rsidRPr="005C400D" w:rsidSect="00EA6F0C">
      <w:headerReference w:type="default" r:id="rId15"/>
      <w:footerReference w:type="default" r:id="rId16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B3" w:rsidRDefault="00252AB3">
      <w:r>
        <w:separator/>
      </w:r>
    </w:p>
  </w:endnote>
  <w:endnote w:type="continuationSeparator" w:id="0">
    <w:p w:rsidR="00252AB3" w:rsidRDefault="002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6DE4">
      <w:rPr>
        <w:noProof/>
      </w:rPr>
      <w:t>1</w:t>
    </w:r>
    <w:r>
      <w:fldChar w:fldCharType="end"/>
    </w:r>
  </w:p>
  <w:p w:rsidR="001E1B00" w:rsidRDefault="001E1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B3" w:rsidRDefault="00252AB3">
      <w:r>
        <w:separator/>
      </w:r>
    </w:p>
  </w:footnote>
  <w:footnote w:type="continuationSeparator" w:id="0">
    <w:p w:rsidR="00252AB3" w:rsidRDefault="0025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1C" w:rsidRDefault="00C41EFA" w:rsidP="0074541C">
    <w:pPr>
      <w:pStyle w:val="Zanag2"/>
      <w:ind w:left="709"/>
      <w:rPr>
        <w:rFonts w:ascii="Calibri" w:hAnsi="Calibri" w:cs="Calibri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  <w:r w:rsidR="00976DE4">
      <w:rPr>
        <w:rFonts w:ascii="Calibri" w:hAnsi="Calibri" w:cs="Calibri"/>
        <w:sz w:val="24"/>
      </w:rPr>
      <w:t xml:space="preserve"> dla cz. 4</w:t>
    </w:r>
  </w:p>
  <w:p w:rsidR="00976DE4" w:rsidRPr="008222A2" w:rsidRDefault="00976DE4" w:rsidP="0074541C">
    <w:pPr>
      <w:pStyle w:val="Zanag2"/>
      <w:ind w:left="709"/>
      <w:rPr>
        <w:rFonts w:ascii="Calibri" w:hAnsi="Calibri" w:cs="Calibri"/>
        <w:caps w:val="0"/>
        <w:sz w:val="24"/>
      </w:rPr>
    </w:pPr>
    <w:r w:rsidRPr="00976DE4">
      <w:rPr>
        <w:rFonts w:ascii="Calibri" w:hAnsi="Calibri" w:cs="Calibri"/>
        <w:caps w:val="0"/>
        <w:sz w:val="24"/>
      </w:rPr>
      <w:t>POST/DYS/OLD/GZ/00383/2025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1C2A2BCA"/>
    <w:multiLevelType w:val="hybridMultilevel"/>
    <w:tmpl w:val="4B00D3AA"/>
    <w:lvl w:ilvl="0" w:tplc="0415000F">
      <w:start w:val="1"/>
      <w:numFmt w:val="decimal"/>
      <w:lvlText w:val="%1."/>
      <w:lvlJc w:val="left"/>
      <w:pPr>
        <w:ind w:left="1106" w:hanging="360"/>
      </w:pPr>
    </w:lvl>
    <w:lvl w:ilvl="1" w:tplc="04150019">
      <w:start w:val="1"/>
      <w:numFmt w:val="lowerLetter"/>
      <w:lvlText w:val="%2."/>
      <w:lvlJc w:val="left"/>
      <w:pPr>
        <w:ind w:left="1826" w:hanging="360"/>
      </w:pPr>
    </w:lvl>
    <w:lvl w:ilvl="2" w:tplc="0415001B">
      <w:start w:val="1"/>
      <w:numFmt w:val="lowerRoman"/>
      <w:lvlText w:val="%3."/>
      <w:lvlJc w:val="right"/>
      <w:pPr>
        <w:ind w:left="2546" w:hanging="180"/>
      </w:pPr>
    </w:lvl>
    <w:lvl w:ilvl="3" w:tplc="0415000F">
      <w:start w:val="1"/>
      <w:numFmt w:val="decimal"/>
      <w:lvlText w:val="%4."/>
      <w:lvlJc w:val="left"/>
      <w:pPr>
        <w:ind w:left="3266" w:hanging="360"/>
      </w:pPr>
    </w:lvl>
    <w:lvl w:ilvl="4" w:tplc="04150019">
      <w:start w:val="1"/>
      <w:numFmt w:val="lowerLetter"/>
      <w:lvlText w:val="%5."/>
      <w:lvlJc w:val="left"/>
      <w:pPr>
        <w:ind w:left="3986" w:hanging="360"/>
      </w:pPr>
    </w:lvl>
    <w:lvl w:ilvl="5" w:tplc="0415001B">
      <w:start w:val="1"/>
      <w:numFmt w:val="lowerRoman"/>
      <w:lvlText w:val="%6."/>
      <w:lvlJc w:val="right"/>
      <w:pPr>
        <w:ind w:left="4706" w:hanging="180"/>
      </w:pPr>
    </w:lvl>
    <w:lvl w:ilvl="6" w:tplc="0415000F">
      <w:start w:val="1"/>
      <w:numFmt w:val="decimal"/>
      <w:lvlText w:val="%7."/>
      <w:lvlJc w:val="left"/>
      <w:pPr>
        <w:ind w:left="5426" w:hanging="360"/>
      </w:pPr>
    </w:lvl>
    <w:lvl w:ilvl="7" w:tplc="04150019">
      <w:start w:val="1"/>
      <w:numFmt w:val="lowerLetter"/>
      <w:lvlText w:val="%8."/>
      <w:lvlJc w:val="left"/>
      <w:pPr>
        <w:ind w:left="6146" w:hanging="360"/>
      </w:pPr>
    </w:lvl>
    <w:lvl w:ilvl="8" w:tplc="0415001B">
      <w:start w:val="1"/>
      <w:numFmt w:val="lowerRoman"/>
      <w:lvlText w:val="%9."/>
      <w:lvlJc w:val="right"/>
      <w:pPr>
        <w:ind w:left="6866" w:hanging="180"/>
      </w:pPr>
    </w:lvl>
  </w:abstractNum>
  <w:abstractNum w:abstractNumId="56" w15:restartNumberingAfterBreak="0">
    <w:nsid w:val="1D212A75"/>
    <w:multiLevelType w:val="hybridMultilevel"/>
    <w:tmpl w:val="4DCE5622"/>
    <w:lvl w:ilvl="0" w:tplc="9E1C3F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E1C3FEE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32DB4900"/>
    <w:multiLevelType w:val="hybridMultilevel"/>
    <w:tmpl w:val="9FDA1F3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92E699E"/>
    <w:multiLevelType w:val="hybridMultilevel"/>
    <w:tmpl w:val="EDBCC2D0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1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025091E"/>
    <w:multiLevelType w:val="hybridMultilevel"/>
    <w:tmpl w:val="0750D07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52FB317C"/>
    <w:multiLevelType w:val="hybridMultilevel"/>
    <w:tmpl w:val="4DCE5622"/>
    <w:lvl w:ilvl="0" w:tplc="9E1C3F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E1C3FEE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AA54720"/>
    <w:multiLevelType w:val="hybridMultilevel"/>
    <w:tmpl w:val="C114CE2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5B44056F"/>
    <w:multiLevelType w:val="hybridMultilevel"/>
    <w:tmpl w:val="3C8C4D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3823796"/>
    <w:multiLevelType w:val="hybridMultilevel"/>
    <w:tmpl w:val="9FDA1F3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8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9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3" w15:restartNumberingAfterBreak="0">
    <w:nsid w:val="795D43CD"/>
    <w:multiLevelType w:val="hybridMultilevel"/>
    <w:tmpl w:val="BC523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9AA5353"/>
    <w:multiLevelType w:val="hybridMultilevel"/>
    <w:tmpl w:val="2FC063D6"/>
    <w:lvl w:ilvl="0" w:tplc="0415000F">
      <w:start w:val="1"/>
      <w:numFmt w:val="decimal"/>
      <w:lvlText w:val="%1."/>
      <w:lvlJc w:val="left"/>
      <w:pPr>
        <w:ind w:left="1789" w:hanging="360"/>
      </w:p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5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7"/>
  </w:num>
  <w:num w:numId="2">
    <w:abstractNumId w:val="66"/>
  </w:num>
  <w:num w:numId="3">
    <w:abstractNumId w:val="70"/>
  </w:num>
  <w:num w:numId="4">
    <w:abstractNumId w:val="78"/>
  </w:num>
  <w:num w:numId="5">
    <w:abstractNumId w:val="64"/>
  </w:num>
  <w:num w:numId="6">
    <w:abstractNumId w:val="74"/>
  </w:num>
  <w:num w:numId="7">
    <w:abstractNumId w:val="85"/>
  </w:num>
  <w:num w:numId="8">
    <w:abstractNumId w:val="81"/>
  </w:num>
  <w:num w:numId="9">
    <w:abstractNumId w:val="80"/>
  </w:num>
  <w:num w:numId="10">
    <w:abstractNumId w:val="53"/>
  </w:num>
  <w:num w:numId="11">
    <w:abstractNumId w:val="54"/>
  </w:num>
  <w:num w:numId="12">
    <w:abstractNumId w:val="75"/>
  </w:num>
  <w:num w:numId="13">
    <w:abstractNumId w:val="58"/>
  </w:num>
  <w:num w:numId="14">
    <w:abstractNumId w:val="65"/>
  </w:num>
  <w:num w:numId="15">
    <w:abstractNumId w:val="61"/>
  </w:num>
  <w:num w:numId="16">
    <w:abstractNumId w:val="57"/>
  </w:num>
  <w:num w:numId="17">
    <w:abstractNumId w:val="79"/>
  </w:num>
  <w:num w:numId="18">
    <w:abstractNumId w:val="63"/>
  </w:num>
  <w:num w:numId="19">
    <w:abstractNumId w:val="67"/>
  </w:num>
  <w:num w:numId="20">
    <w:abstractNumId w:val="53"/>
    <w:lvlOverride w:ilvl="0">
      <w:startOverride w:val="1"/>
    </w:lvlOverride>
  </w:num>
  <w:num w:numId="21">
    <w:abstractNumId w:val="68"/>
  </w:num>
  <w:num w:numId="2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0"/>
  </w:num>
  <w:num w:numId="25">
    <w:abstractNumId w:val="8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2"/>
  </w:num>
  <w:num w:numId="28">
    <w:abstractNumId w:val="73"/>
  </w:num>
  <w:num w:numId="29">
    <w:abstractNumId w:val="83"/>
  </w:num>
  <w:num w:numId="30">
    <w:abstractNumId w:val="72"/>
  </w:num>
  <w:num w:numId="31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7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5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5D7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191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0758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2AB3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91D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B764B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092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6FA0"/>
    <w:rsid w:val="003A7324"/>
    <w:rsid w:val="003B029A"/>
    <w:rsid w:val="003B0381"/>
    <w:rsid w:val="003B18F0"/>
    <w:rsid w:val="003B1B69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C42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69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1E4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1DEB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06333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27D87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6DE4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87F37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3C3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9E7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2CC9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5767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5BF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8795A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  <w:rsid w:val="00FF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33759EF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pgedystrybucja.pl/strefa-klienta/przydatne-dokument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/strefa-klienta/przydatne-dokumenty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strefa-klienta/przydatne-dokumen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- cz. 4.docx</dmsv2BaseFileName>
    <dmsv2BaseDisplayName xmlns="http://schemas.microsoft.com/sharepoint/v3">Załącznik nr 1.7 do SWZ - cz. 4</dmsv2BaseDisplayName>
    <dmsv2SWPP2ObjectNumber xmlns="http://schemas.microsoft.com/sharepoint/v3">POST/DYS/OLD/GZ/00383/2025                        </dmsv2SWPP2ObjectNumber>
    <dmsv2SWPP2SumMD5 xmlns="http://schemas.microsoft.com/sharepoint/v3">fc1b53acb678a118b169b5df388c216a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669569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21636184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UFFPNC7AYYXC-485694627-5233</_dlc_DocId>
    <_dlc_DocIdUrl xmlns="a19cb1c7-c5c7-46d4-85ae-d83685407bba">
      <Url>https://swpp2.dms.gkpge.pl/sites/34/_layouts/15/DocIdRedir.aspx?ID=UFFPNC7AYYXC-485694627-5233</Url>
      <Description>UFFPNC7AYYXC-485694627-5233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696D666F006F442AA9CC46CC02455BE" ma:contentTypeVersion="0" ma:contentTypeDescription="SWPP2 Dokument bazowy" ma:contentTypeScope="" ma:versionID="b11a85687bd300a3e9983f79ae407f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C4CF0-C644-4ECB-965C-A3C9429D43E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52E4625-7C0A-4B1C-986C-E73BAA5699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CAC4A-93C8-46B0-ADDF-4526EBA3815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0FC4711-1F14-4546-8F8F-E42E25D5E720}"/>
</file>

<file path=customXml/itemProps5.xml><?xml version="1.0" encoding="utf-8"?>
<ds:datastoreItem xmlns:ds="http://schemas.openxmlformats.org/officeDocument/2006/customXml" ds:itemID="{399AF9A0-13B7-4A43-BD13-0EB06B0D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10</Pages>
  <Words>3857</Words>
  <Characters>23145</Characters>
  <Application>Microsoft Office Word</Application>
  <DocSecurity>0</DocSecurity>
  <Lines>192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26949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71</cp:revision>
  <cp:lastPrinted>2021-09-22T09:55:00Z</cp:lastPrinted>
  <dcterms:created xsi:type="dcterms:W3CDTF">2018-01-22T07:15:00Z</dcterms:created>
  <dcterms:modified xsi:type="dcterms:W3CDTF">2025-02-12T11:49:00Z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0x0101891000D696D666F006F442AA9CC46CC02455BE</vt:lpwstr>
  </property>
  <property fmtid="{D5CDD505-2E9C-101B-9397-08002B2CF9AE}" pid="3" name="_dlc_DocIdItemGuid">
    <vt:lpwstr>7327db97-554f-4e70-9ff3-2752f54ee274</vt:lpwstr>
  </property>
</Properties>
</file>