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1B2BF20F"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t>
      </w:r>
      <w:r w:rsidR="00C54444">
        <w:rPr>
          <w:rFonts w:asciiTheme="minorHAnsi" w:hAnsiTheme="minorHAnsi" w:cstheme="minorHAnsi"/>
          <w:sz w:val="20"/>
          <w:lang w:eastAsia="pl-PL"/>
        </w:rPr>
        <w:br/>
      </w:r>
      <w:r w:rsidRPr="00E66BB9">
        <w:rPr>
          <w:rFonts w:asciiTheme="minorHAnsi" w:hAnsiTheme="minorHAnsi" w:cstheme="minorHAnsi"/>
          <w:sz w:val="20"/>
          <w:lang w:eastAsia="pl-PL"/>
        </w:rPr>
        <w:t xml:space="preserve">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2312AB30"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t>
      </w:r>
      <w:r w:rsidR="00C54444">
        <w:rPr>
          <w:rFonts w:asciiTheme="minorHAnsi" w:hAnsiTheme="minorHAnsi" w:cstheme="minorHAnsi"/>
          <w:sz w:val="20"/>
          <w:lang w:eastAsia="pl-PL"/>
        </w:rPr>
        <w:br/>
      </w:r>
      <w:r w:rsidRPr="00E66BB9">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C54444">
        <w:rPr>
          <w:rFonts w:asciiTheme="minorHAnsi" w:hAnsiTheme="minorHAnsi" w:cstheme="minorHAnsi"/>
          <w:sz w:val="20"/>
          <w:lang w:eastAsia="pl-PL"/>
        </w:rPr>
        <w:br/>
      </w:r>
      <w:r w:rsidRPr="00E66BB9">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10FC51CC"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t>
      </w:r>
      <w:r w:rsidR="00C54444">
        <w:rPr>
          <w:rFonts w:asciiTheme="minorHAnsi" w:hAnsiTheme="minorHAnsi" w:cstheme="minorHAnsi"/>
          <w:sz w:val="20"/>
          <w:lang w:eastAsia="pl-PL"/>
        </w:rPr>
        <w:br/>
      </w:r>
      <w:r w:rsidRPr="00E66BB9">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C54444">
        <w:rPr>
          <w:rFonts w:asciiTheme="minorHAnsi" w:hAnsiTheme="minorHAnsi" w:cstheme="minorHAnsi"/>
          <w:sz w:val="20"/>
          <w:lang w:eastAsia="pl-PL"/>
        </w:rPr>
        <w:br/>
      </w:r>
      <w:r w:rsidRPr="00E66BB9">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341B1363"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obywateli rosyjskich lub osób fizycznych lub prawnych, podmiotów lub organów z siedzibą </w:t>
      </w:r>
      <w:r w:rsidR="00C54444">
        <w:rPr>
          <w:rFonts w:asciiTheme="minorHAnsi" w:hAnsiTheme="minorHAnsi" w:cstheme="minorHAnsi"/>
          <w:sz w:val="20"/>
          <w:lang w:eastAsia="pl-PL"/>
        </w:rPr>
        <w:br/>
      </w:r>
      <w:r w:rsidRPr="00E66BB9">
        <w:rPr>
          <w:rFonts w:asciiTheme="minorHAnsi" w:hAnsiTheme="minorHAnsi" w:cstheme="minorHAnsi"/>
          <w:sz w:val="20"/>
          <w:lang w:eastAsia="pl-PL"/>
        </w:rPr>
        <w:t>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6B1B440D"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 xml:space="preserve">o którym mowa w art. 228–230a, art. 250a Kodeksu karnego lub w art. 46 lub art. 48 ustawy </w:t>
      </w:r>
      <w:r w:rsidR="00C54444">
        <w:rPr>
          <w:rFonts w:asciiTheme="minorHAnsi" w:hAnsiTheme="minorHAnsi" w:cstheme="minorHAnsi"/>
          <w:sz w:val="20"/>
          <w:lang w:eastAsia="pl-PL"/>
        </w:rPr>
        <w:br/>
      </w:r>
      <w:r w:rsidRPr="00571A54">
        <w:rPr>
          <w:rFonts w:asciiTheme="minorHAnsi" w:hAnsiTheme="minorHAnsi" w:cstheme="minorHAnsi"/>
          <w:sz w:val="20"/>
          <w:lang w:eastAsia="pl-PL"/>
        </w:rPr>
        <w:t xml:space="preserve">z dnia 25 czerwca 2010 r. o sporcie (Dz.U. z 2020 r. poz. 1133 oraz z 2021 r. poz. 2054) lub </w:t>
      </w:r>
      <w:r w:rsidR="00C54444">
        <w:rPr>
          <w:rFonts w:asciiTheme="minorHAnsi" w:hAnsiTheme="minorHAnsi" w:cstheme="minorHAnsi"/>
          <w:sz w:val="20"/>
          <w:lang w:eastAsia="pl-PL"/>
        </w:rPr>
        <w:br/>
      </w:r>
      <w:r w:rsidRPr="00571A54">
        <w:rPr>
          <w:rFonts w:asciiTheme="minorHAnsi" w:hAnsiTheme="minorHAnsi" w:cstheme="minorHAnsi"/>
          <w:sz w:val="20"/>
          <w:lang w:eastAsia="pl-PL"/>
        </w:rPr>
        <w:t>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954A70B"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w:t>
      </w:r>
      <w:r w:rsidR="00C54444">
        <w:rPr>
          <w:rFonts w:asciiTheme="minorHAnsi" w:hAnsiTheme="minorHAnsi" w:cstheme="minorHAnsi"/>
          <w:sz w:val="20"/>
          <w:lang w:eastAsia="pl-PL"/>
        </w:rPr>
        <w:br/>
      </w:r>
      <w:r w:rsidRPr="00571A54">
        <w:rPr>
          <w:rFonts w:asciiTheme="minorHAnsi" w:hAnsiTheme="minorHAnsi" w:cstheme="minorHAnsi"/>
          <w:sz w:val="20"/>
          <w:lang w:eastAsia="pl-PL"/>
        </w:rPr>
        <w:t>o zamówienia publiczne,</w:t>
      </w:r>
    </w:p>
    <w:p w14:paraId="333A2D12" w14:textId="37DCBCAD"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t>
      </w:r>
      <w:r w:rsidR="00C54444">
        <w:rPr>
          <w:rFonts w:asciiTheme="minorHAnsi" w:hAnsiTheme="minorHAnsi" w:cstheme="minorHAnsi"/>
          <w:sz w:val="20"/>
          <w:lang w:eastAsia="pl-PL"/>
        </w:rPr>
        <w:br/>
      </w:r>
      <w:r w:rsidRPr="00571A54">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373A7CA1"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C54444">
        <w:rPr>
          <w:rFonts w:asciiTheme="minorHAnsi" w:hAnsiTheme="minorHAnsi" w:cstheme="minorHAnsi"/>
          <w:sz w:val="20"/>
          <w:lang w:eastAsia="pl-PL"/>
        </w:rPr>
        <w:br/>
      </w:r>
      <w:r w:rsidRPr="00571A54">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3ECCD66A"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C54444">
        <w:rPr>
          <w:rFonts w:asciiTheme="minorHAnsi" w:hAnsiTheme="minorHAnsi" w:cstheme="minorHAnsi"/>
          <w:b/>
          <w:sz w:val="20"/>
          <w:lang w:eastAsia="pl-PL"/>
        </w:rPr>
        <w:br/>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w:t>
      </w:r>
      <w:bookmarkStart w:id="2" w:name="_GoBack"/>
      <w:bookmarkEnd w:id="2"/>
      <w:r w:rsidRPr="00D3564C">
        <w:rPr>
          <w:rFonts w:asciiTheme="minorHAnsi" w:hAnsiTheme="minorHAnsi" w:cstheme="minorHAnsi"/>
          <w:snapToGrid w:val="0"/>
          <w:sz w:val="20"/>
          <w:lang w:eastAsia="pl-PL"/>
        </w:rPr>
        <w:t>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7533C62D" w14:textId="3CF876E1" w:rsidR="00222BED" w:rsidRDefault="00EE2B69" w:rsidP="00222BED">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22F55940" w14:textId="6FAC0F57" w:rsidR="00222BED" w:rsidRPr="00222BED" w:rsidRDefault="00222BED" w:rsidP="00222BED">
      <w:pPr>
        <w:pStyle w:val="Akapitzlist"/>
        <w:numPr>
          <w:ilvl w:val="0"/>
          <w:numId w:val="14"/>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6075C9">
        <w:rPr>
          <w:rFonts w:asciiTheme="minorHAnsi" w:hAnsiTheme="minorHAnsi" w:cstheme="minorHAnsi"/>
          <w:sz w:val="20"/>
          <w:lang w:eastAsia="pl-PL"/>
        </w:rPr>
        <w:t xml:space="preserve"> (prac pod napięciem) – 2 osoby </w:t>
      </w:r>
      <w:r w:rsidR="006075C9" w:rsidRPr="006075C9">
        <w:rPr>
          <w:rFonts w:asciiTheme="minorHAnsi" w:hAnsiTheme="minorHAnsi" w:cstheme="minorHAnsi"/>
          <w:b/>
          <w:color w:val="C00000"/>
          <w:sz w:val="20"/>
          <w:lang w:eastAsia="pl-PL"/>
        </w:rPr>
        <w:t>– dla cz. 1</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w:t>
      </w:r>
      <w:r w:rsidRPr="00F00665">
        <w:rPr>
          <w:rFonts w:asciiTheme="minorHAnsi" w:hAnsiTheme="minorHAnsi" w:cstheme="minorHAnsi"/>
          <w:bCs/>
          <w:snapToGrid w:val="0"/>
          <w:sz w:val="20"/>
          <w:lang w:eastAsia="pl-PL"/>
        </w:rPr>
        <w:lastRenderedPageBreak/>
        <w:t>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68DF26FE"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B074BE">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005B97AC"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B074BE">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3E1C0C50"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B074BE">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6C5B6CB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w:t>
      </w:r>
      <w:r w:rsidRPr="004D2168">
        <w:rPr>
          <w:rFonts w:asciiTheme="minorHAnsi" w:eastAsia="Calibri" w:hAnsiTheme="minorHAnsi" w:cstheme="minorHAnsi"/>
          <w:sz w:val="20"/>
        </w:rPr>
        <w:lastRenderedPageBreak/>
        <w:t xml:space="preserve">rozporządzenia (UE) nr 833/2014 dotyczącego środków ograniczających w związku z działaniami Rosji destabilizującymi sytuację na Ukrainie. W przypadku Wykonawców wspólnie ubiegających się </w:t>
      </w:r>
      <w:r w:rsidR="00B074BE">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1A8E1122"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4A2A19">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3DC9AD3C"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B074BE">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617E8606"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B074BE">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B074BE">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4A2A19">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41186AD8"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A2A19">
        <w:rPr>
          <w:rFonts w:asciiTheme="minorHAnsi" w:hAnsiTheme="minorHAnsi" w:cstheme="minorHAnsi"/>
          <w:sz w:val="20"/>
          <w:highlight w:val="yellow"/>
        </w:rPr>
        <w:t xml:space="preserve">Potwierdzenie wniesienia wadium dołączone do oferty </w:t>
      </w:r>
      <w:r w:rsidRPr="004A2A19">
        <w:rPr>
          <w:rFonts w:asciiTheme="minorHAnsi" w:eastAsia="Calibri" w:hAnsiTheme="minorHAnsi" w:cstheme="minorHAnsi"/>
          <w:sz w:val="20"/>
          <w:highlight w:val="yellow"/>
        </w:rPr>
        <w:t>powyżej</w:t>
      </w:r>
      <w:r>
        <w:rPr>
          <w:rFonts w:asciiTheme="minorHAnsi" w:eastAsia="Calibri" w:hAnsiTheme="minorHAnsi" w:cstheme="minorHAnsi"/>
          <w:sz w:val="20"/>
        </w:rPr>
        <w:t>.</w:t>
      </w:r>
    </w:p>
    <w:p w14:paraId="2EECA00F" w14:textId="6EF5B5C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4A2A19">
        <w:rPr>
          <w:rFonts w:asciiTheme="minorHAnsi" w:hAnsiTheme="minorHAnsi" w:cstheme="minorHAnsi"/>
          <w:sz w:val="20"/>
        </w:rPr>
        <w:br/>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6267526"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4A2A19">
        <w:rPr>
          <w:rFonts w:asciiTheme="minorHAnsi" w:hAnsiTheme="minorHAnsi" w:cstheme="minorHAnsi"/>
          <w:sz w:val="20"/>
        </w:rPr>
        <w:t xml:space="preserve">, 2.8., 3.7.,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62878371"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4A2A19">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7B7B5452"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4A2A19">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E9076" w14:textId="77777777" w:rsidR="003679D1" w:rsidRDefault="003679D1" w:rsidP="004A302B">
      <w:pPr>
        <w:spacing w:line="240" w:lineRule="auto"/>
      </w:pPr>
      <w:r>
        <w:separator/>
      </w:r>
    </w:p>
  </w:endnote>
  <w:endnote w:type="continuationSeparator" w:id="0">
    <w:p w14:paraId="405D40E8" w14:textId="77777777" w:rsidR="003679D1" w:rsidRDefault="003679D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B707C7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075C9">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075C9">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78D3" w14:textId="77777777" w:rsidR="003679D1" w:rsidRDefault="003679D1" w:rsidP="004A302B">
      <w:pPr>
        <w:spacing w:line="240" w:lineRule="auto"/>
      </w:pPr>
      <w:r>
        <w:separator/>
      </w:r>
    </w:p>
  </w:footnote>
  <w:footnote w:type="continuationSeparator" w:id="0">
    <w:p w14:paraId="763EA069" w14:textId="77777777" w:rsidR="003679D1" w:rsidRDefault="003679D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73DBD31" w:rsidR="002369B6" w:rsidRDefault="00F23457"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68FEF3F" wp14:editId="4549A066">
          <wp:simplePos x="0" y="0"/>
          <wp:positionH relativeFrom="page">
            <wp:posOffset>972922</wp:posOffset>
          </wp:positionH>
          <wp:positionV relativeFrom="page">
            <wp:posOffset>431597</wp:posOffset>
          </wp:positionV>
          <wp:extent cx="781752" cy="607161"/>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89142" cy="612901"/>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D9913A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54444">
          <w:rPr>
            <w:rFonts w:asciiTheme="minorHAnsi" w:hAnsiTheme="minorHAnsi" w:cstheme="minorHAnsi"/>
            <w:sz w:val="18"/>
            <w:szCs w:val="18"/>
          </w:rPr>
          <w:t>POST/DYS/OLD/GZ/00383/2025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57E9E74E" w:rsidR="006A25A9" w:rsidRDefault="00195A79" w:rsidP="006A25A9">
    <w:pPr>
      <w:pStyle w:val="Nagwek"/>
      <w:tabs>
        <w:tab w:val="clear" w:pos="4536"/>
        <w:tab w:val="clear" w:pos="9072"/>
        <w:tab w:val="left" w:pos="2038"/>
      </w:tabs>
      <w:ind w:firstLine="1416"/>
    </w:pPr>
    <w:r>
      <w:rPr>
        <w:noProof/>
        <w:lang w:eastAsia="pl-PL"/>
      </w:rPr>
      <w:drawing>
        <wp:inline distT="0" distB="0" distL="0" distR="0" wp14:anchorId="56ED8EC6" wp14:editId="6AB359AF">
          <wp:extent cx="804672" cy="643890"/>
          <wp:effectExtent l="0" t="0" r="0" b="3810"/>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08289" cy="646784"/>
                  </a:xfrm>
                  <a:prstGeom prst="rect">
                    <a:avLst/>
                  </a:prstGeom>
                  <a:noFill/>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C54444" w:rsidRPr="00C54444">
          <w:rPr>
            <w:rFonts w:asciiTheme="minorHAnsi" w:hAnsiTheme="minorHAnsi" w:cstheme="minorHAnsi"/>
            <w:sz w:val="18"/>
            <w:szCs w:val="18"/>
          </w:rPr>
          <w:t>POST/DYS/OLD/GZ/00383/2025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3"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9"/>
  </w:num>
  <w:num w:numId="6">
    <w:abstractNumId w:val="14"/>
  </w:num>
  <w:num w:numId="7">
    <w:abstractNumId w:val="16"/>
  </w:num>
  <w:num w:numId="8">
    <w:abstractNumId w:val="18"/>
  </w:num>
  <w:num w:numId="9">
    <w:abstractNumId w:val="10"/>
  </w:num>
  <w:num w:numId="10">
    <w:abstractNumId w:val="8"/>
  </w:num>
  <w:num w:numId="11">
    <w:abstractNumId w:val="23"/>
  </w:num>
  <w:num w:numId="12">
    <w:abstractNumId w:val="22"/>
  </w:num>
  <w:num w:numId="13">
    <w:abstractNumId w:val="15"/>
  </w:num>
  <w:num w:numId="14">
    <w:abstractNumId w:val="24"/>
  </w:num>
  <w:num w:numId="15">
    <w:abstractNumId w:val="12"/>
  </w:num>
  <w:num w:numId="16">
    <w:abstractNumId w:val="19"/>
  </w:num>
  <w:num w:numId="17">
    <w:abstractNumId w:val="13"/>
  </w:num>
  <w:num w:numId="18">
    <w:abstractNumId w:val="17"/>
  </w:num>
  <w:num w:numId="19">
    <w:abstractNumId w:val="21"/>
  </w:num>
  <w:num w:numId="20">
    <w:abstractNumId w:val="5"/>
  </w:num>
  <w:num w:numId="21">
    <w:abstractNumId w:val="20"/>
  </w:num>
  <w:num w:numId="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A79"/>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BED"/>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679D1"/>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A19"/>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075C9"/>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B69"/>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074BE"/>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4A1E"/>
    <w:rsid w:val="00C46734"/>
    <w:rsid w:val="00C467E6"/>
    <w:rsid w:val="00C46EC5"/>
    <w:rsid w:val="00C50E3F"/>
    <w:rsid w:val="00C519D4"/>
    <w:rsid w:val="00C529E4"/>
    <w:rsid w:val="00C52A3C"/>
    <w:rsid w:val="00C5340E"/>
    <w:rsid w:val="00C538E0"/>
    <w:rsid w:val="00C53C93"/>
    <w:rsid w:val="00C54444"/>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3457"/>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663AA"/>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8F2EB3"/>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PT+RBM 22-12-2022 - poprawiony.docx</dmsv2BaseFileName>
    <dmsv2BaseDisplayName xmlns="http://schemas.microsoft.com/sharepoint/v3">Załącznik nr 2 do SWZ - Warunki udziału w postepowaniu PT+RBM 22-12-2022 - poprawiony</dmsv2BaseDisplayName>
    <dmsv2SWPP2ObjectNumber xmlns="http://schemas.microsoft.com/sharepoint/v3">POST/DYS/OLD/GZ/00383/2025                        </dmsv2SWPP2ObjectNumber>
    <dmsv2SWPP2SumMD5 xmlns="http://schemas.microsoft.com/sharepoint/v3">afce5b2ebfc305021c9137f70716b077</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21636185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UFFPNC7AYYXC-485694627-5234</_dlc_DocId>
    <_dlc_DocIdUrl xmlns="a19cb1c7-c5c7-46d4-85ae-d83685407bba">
      <Url>https://swpp2.dms.gkpge.pl/sites/34/_layouts/15/DocIdRedir.aspx?ID=UFFPNC7AYYXC-485694627-5234</Url>
      <Description>UFFPNC7AYYXC-485694627-5234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purl.org/dc/dcmitype/"/>
    <ds:schemaRef ds:uri="http://schemas.microsoft.com/office/infopath/2007/PartnerControls"/>
    <ds:schemaRef ds:uri="http://schemas.openxmlformats.org/package/2006/metadata/core-properties"/>
    <ds:schemaRef ds:uri="a19cb1c7-c5c7-46d4-85ae-d83685407bba"/>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65157F4-C1E1-42EA-B785-7256950884E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6.xml><?xml version="1.0" encoding="utf-8"?>
<ds:datastoreItem xmlns:ds="http://schemas.openxmlformats.org/officeDocument/2006/customXml" ds:itemID="{48EEFE8E-3ADE-445E-B023-33EB54C30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3653</Words>
  <Characters>21918</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POST/DYS/OLD/GZ/00383/2025</dc:subject>
  <dc:creator>Kurpiewska Katarzyna [PGE S.A.]</dc:creator>
  <cp:lastModifiedBy>Jarosz Klaudia [PGE Dystr. O.Łódź]</cp:lastModifiedBy>
  <cp:revision>3</cp:revision>
  <cp:lastPrinted>2021-08-10T08:10:00Z</cp:lastPrinted>
  <dcterms:created xsi:type="dcterms:W3CDTF">2025-02-13T07:11:00Z</dcterms:created>
  <dcterms:modified xsi:type="dcterms:W3CDTF">2025-02-13T08:55:00Z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6cb26ad0-4bc7-4f43-a7b1-854c9ebca3e4</vt:lpwstr>
  </property>
</Properties>
</file>