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32C5B"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932C5B">
        <w:rPr>
          <w:rFonts w:asciiTheme="minorHAnsi" w:hAnsiTheme="minorHAnsi" w:cstheme="minorHAnsi"/>
          <w:sz w:val="20"/>
          <w:lang w:val="pl-PL" w:eastAsia="pl-PL"/>
        </w:rPr>
        <w:t>OFERTA</w:t>
      </w:r>
    </w:p>
    <w:p w14:paraId="43866169" w14:textId="7969E732" w:rsidR="00D6741F" w:rsidRPr="006A4158" w:rsidRDefault="008D5ACE" w:rsidP="006A4158">
      <w:pPr>
        <w:rPr>
          <w:rFonts w:asciiTheme="minorHAnsi" w:hAnsiTheme="minorHAnsi" w:cstheme="minorHAnsi"/>
          <w:b/>
          <w:i/>
          <w:sz w:val="20"/>
        </w:rPr>
      </w:pPr>
      <w:r w:rsidRPr="00932C5B">
        <w:rPr>
          <w:rFonts w:asciiTheme="minorHAnsi" w:hAnsiTheme="minorHAnsi" w:cstheme="minorHAnsi"/>
          <w:sz w:val="20"/>
          <w:lang w:eastAsia="pl-PL"/>
        </w:rPr>
        <w:t xml:space="preserve">Dotyczy postępowania </w:t>
      </w:r>
      <w:r w:rsidR="00464363" w:rsidRPr="00932C5B">
        <w:rPr>
          <w:rFonts w:asciiTheme="minorHAnsi" w:hAnsiTheme="minorHAnsi" w:cstheme="minorHAnsi"/>
          <w:sz w:val="20"/>
          <w:lang w:eastAsia="pl-PL"/>
        </w:rPr>
        <w:t xml:space="preserve">zakupowego nr </w:t>
      </w:r>
      <w:r w:rsidR="008D4C5F" w:rsidRPr="00932C5B">
        <w:rPr>
          <w:rFonts w:asciiTheme="minorHAnsi" w:hAnsiTheme="minorHAnsi" w:cstheme="minorHAnsi"/>
          <w:sz w:val="20"/>
          <w:lang w:eastAsia="pl-PL"/>
        </w:rPr>
        <w:t>POST/DYS/OB/LZA/</w:t>
      </w:r>
      <w:r w:rsidR="00305D75" w:rsidRPr="00932C5B">
        <w:rPr>
          <w:rFonts w:asciiTheme="minorHAnsi" w:hAnsiTheme="minorHAnsi" w:cstheme="minorHAnsi"/>
          <w:sz w:val="20"/>
          <w:lang w:eastAsia="pl-PL"/>
        </w:rPr>
        <w:t>0</w:t>
      </w:r>
      <w:r w:rsidR="006A4158">
        <w:rPr>
          <w:rFonts w:asciiTheme="minorHAnsi" w:hAnsiTheme="minorHAnsi" w:cstheme="minorHAnsi"/>
          <w:sz w:val="20"/>
          <w:lang w:eastAsia="pl-PL"/>
        </w:rPr>
        <w:t>3290</w:t>
      </w:r>
      <w:r w:rsidR="00305D75" w:rsidRPr="00932C5B">
        <w:rPr>
          <w:rFonts w:asciiTheme="minorHAnsi" w:hAnsiTheme="minorHAnsi" w:cstheme="minorHAnsi"/>
          <w:sz w:val="20"/>
          <w:lang w:eastAsia="pl-PL"/>
        </w:rPr>
        <w:t>/202</w:t>
      </w:r>
      <w:r w:rsidR="00076EE8">
        <w:rPr>
          <w:rFonts w:asciiTheme="minorHAnsi" w:hAnsiTheme="minorHAnsi" w:cstheme="minorHAnsi"/>
          <w:sz w:val="20"/>
          <w:lang w:eastAsia="pl-PL"/>
        </w:rPr>
        <w:t>4</w:t>
      </w:r>
      <w:r w:rsidR="00464363" w:rsidRPr="00932C5B">
        <w:rPr>
          <w:rFonts w:asciiTheme="minorHAnsi" w:hAnsiTheme="minorHAnsi" w:cstheme="minorHAnsi"/>
          <w:sz w:val="20"/>
          <w:lang w:eastAsia="pl-PL"/>
        </w:rPr>
        <w:t xml:space="preserve"> prowadzonego </w:t>
      </w:r>
      <w:r w:rsidRPr="00932C5B">
        <w:rPr>
          <w:rFonts w:asciiTheme="minorHAnsi" w:hAnsiTheme="minorHAnsi" w:cstheme="minorHAnsi"/>
          <w:sz w:val="20"/>
          <w:lang w:eastAsia="pl-PL"/>
        </w:rPr>
        <w:t xml:space="preserve">w trybie </w:t>
      </w:r>
      <w:r w:rsidR="005C3C8C" w:rsidRPr="00932C5B">
        <w:rPr>
          <w:rFonts w:asciiTheme="minorHAnsi" w:hAnsiTheme="minorHAnsi" w:cstheme="minorHAnsi"/>
          <w:sz w:val="20"/>
          <w:lang w:eastAsia="pl-PL"/>
        </w:rPr>
        <w:t>przetargu nieograniczonego</w:t>
      </w:r>
      <w:r w:rsidR="008D4C5F" w:rsidRPr="00932C5B">
        <w:rPr>
          <w:rFonts w:asciiTheme="minorHAnsi" w:hAnsiTheme="minorHAnsi" w:cstheme="minorHAnsi"/>
          <w:sz w:val="20"/>
          <w:lang w:eastAsia="pl-PL"/>
        </w:rPr>
        <w:t xml:space="preserve"> pn.</w:t>
      </w:r>
      <w:r w:rsidRPr="00722558">
        <w:rPr>
          <w:rFonts w:asciiTheme="minorHAnsi" w:hAnsiTheme="minorHAnsi" w:cstheme="minorHAnsi"/>
          <w:sz w:val="20"/>
          <w:lang w:eastAsia="pl-PL"/>
        </w:rPr>
        <w:t xml:space="preserve"> </w:t>
      </w:r>
      <w:r w:rsidR="006A4158" w:rsidRPr="006A4158">
        <w:rPr>
          <w:rFonts w:asciiTheme="minorHAnsi" w:hAnsiTheme="minorHAnsi" w:cstheme="minorHAnsi"/>
          <w:b/>
          <w:i/>
          <w:sz w:val="20"/>
        </w:rPr>
        <w:t>Sukcesywne projektowanie i wykonywanie elektroenergetycznych przyłączy kablowych na terenie działania Rejonu Energetycznego Bielsk Podlaski - obszar XVI miejsko-wiejski: gmina Czyżew, gmina</w:t>
      </w:r>
      <w:r w:rsidR="006A4158">
        <w:rPr>
          <w:rFonts w:asciiTheme="minorHAnsi" w:hAnsiTheme="minorHAnsi" w:cstheme="minorHAnsi"/>
          <w:b/>
          <w:i/>
          <w:sz w:val="20"/>
        </w:rPr>
        <w:t xml:space="preserve"> Ciechanowiec, gmina Szepietowo.</w:t>
      </w:r>
    </w:p>
    <w:p w14:paraId="0A20B229" w14:textId="77777777" w:rsidR="008D4C5F" w:rsidRPr="008D4C5F" w:rsidRDefault="008D4C5F" w:rsidP="008D4C5F"/>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700F77F9" w14:textId="1A9F29B4" w:rsidR="00932C5B" w:rsidRDefault="005B4ADF" w:rsidP="00722558">
      <w:pPr>
        <w:pStyle w:val="Akapitzlist"/>
        <w:spacing w:before="100" w:beforeAutospacing="1" w:after="100" w:afterAutospacing="1" w:line="240" w:lineRule="auto"/>
        <w:ind w:left="426" w:hanging="426"/>
        <w:rPr>
          <w:rFonts w:asciiTheme="minorHAnsi" w:hAnsiTheme="minorHAnsi" w:cstheme="minorHAnsi"/>
          <w:b/>
          <w:sz w:val="20"/>
        </w:rPr>
      </w:pPr>
      <w:r w:rsidRPr="005B4ADF">
        <w:rPr>
          <w:rFonts w:asciiTheme="minorHAnsi" w:hAnsiTheme="minorHAnsi" w:cstheme="minorHAnsi"/>
          <w:b/>
          <w:sz w:val="20"/>
        </w:rPr>
        <w:t>Oferowane ceny jednostkowe netto elementów zamówienia Umowy ramowej przedstawia tabela poniższej</w:t>
      </w:r>
    </w:p>
    <w:p w14:paraId="670FAB31" w14:textId="45AE4FC0" w:rsidR="00B14D3D" w:rsidRDefault="00B14D3D" w:rsidP="00722558">
      <w:pPr>
        <w:pStyle w:val="Akapitzlist"/>
        <w:spacing w:before="100" w:beforeAutospacing="1" w:after="100" w:afterAutospacing="1" w:line="240" w:lineRule="auto"/>
        <w:ind w:left="426" w:hanging="426"/>
        <w:rPr>
          <w:rFonts w:asciiTheme="minorHAnsi" w:hAnsiTheme="minorHAnsi" w:cstheme="minorHAnsi"/>
          <w:b/>
          <w:sz w:val="20"/>
        </w:rPr>
      </w:pPr>
      <w:bookmarkStart w:id="3" w:name="_GoBack"/>
      <w:bookmarkEnd w:id="3"/>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6A4158" w:rsidRPr="00705B88" w14:paraId="1B568AFD" w14:textId="77777777" w:rsidTr="00B8675F">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59EC060" w14:textId="77777777" w:rsidR="006A4158" w:rsidRPr="00F32246" w:rsidRDefault="006A4158" w:rsidP="00B8675F">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2256" w:type="pct"/>
            <w:tcBorders>
              <w:top w:val="single" w:sz="4" w:space="0" w:color="auto"/>
              <w:left w:val="single" w:sz="4" w:space="0" w:color="auto"/>
              <w:bottom w:val="single" w:sz="4" w:space="0" w:color="auto"/>
              <w:right w:val="single" w:sz="4" w:space="0" w:color="auto"/>
            </w:tcBorders>
            <w:hideMark/>
          </w:tcPr>
          <w:p w14:paraId="3646D082" w14:textId="77777777" w:rsidR="006A4158" w:rsidRPr="00F32246" w:rsidRDefault="006A4158" w:rsidP="00B8675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630" w:type="pct"/>
            <w:tcBorders>
              <w:top w:val="single" w:sz="4" w:space="0" w:color="auto"/>
              <w:left w:val="single" w:sz="4" w:space="0" w:color="auto"/>
              <w:bottom w:val="single" w:sz="4" w:space="0" w:color="auto"/>
              <w:right w:val="single" w:sz="4" w:space="0" w:color="auto"/>
            </w:tcBorders>
            <w:hideMark/>
          </w:tcPr>
          <w:p w14:paraId="55B9D674" w14:textId="77777777" w:rsidR="006A4158" w:rsidRPr="00F32246" w:rsidRDefault="006A4158" w:rsidP="00B8675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32" w:type="pct"/>
            <w:tcBorders>
              <w:top w:val="single" w:sz="4" w:space="0" w:color="auto"/>
              <w:left w:val="single" w:sz="4" w:space="0" w:color="auto"/>
              <w:bottom w:val="single" w:sz="4" w:space="0" w:color="auto"/>
              <w:right w:val="single" w:sz="4" w:space="0" w:color="auto"/>
            </w:tcBorders>
          </w:tcPr>
          <w:p w14:paraId="55650811" w14:textId="77777777" w:rsidR="006A4158" w:rsidRPr="00705B88" w:rsidRDefault="006A4158" w:rsidP="00B8675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1FF34B8B" w14:textId="77777777" w:rsidR="006A4158" w:rsidRDefault="006A4158" w:rsidP="00B8675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53A5E564" w14:textId="77777777" w:rsidR="006A4158" w:rsidRPr="00705B88" w:rsidRDefault="006A4158" w:rsidP="00B8675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miejsko-wiejski)</w:t>
            </w:r>
          </w:p>
        </w:tc>
        <w:tc>
          <w:tcPr>
            <w:tcW w:w="631" w:type="pct"/>
            <w:tcBorders>
              <w:top w:val="single" w:sz="4" w:space="0" w:color="auto"/>
              <w:left w:val="single" w:sz="4" w:space="0" w:color="auto"/>
              <w:bottom w:val="single" w:sz="4" w:space="0" w:color="auto"/>
              <w:right w:val="single" w:sz="4" w:space="0" w:color="auto"/>
            </w:tcBorders>
          </w:tcPr>
          <w:p w14:paraId="1E5E1BA0" w14:textId="77777777" w:rsidR="006A4158" w:rsidRPr="00705B88" w:rsidRDefault="006A4158" w:rsidP="00B8675F">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6A4158" w:rsidRPr="00705B88" w14:paraId="0B3D9D47" w14:textId="77777777" w:rsidTr="00B8675F">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21ED8C9"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56" w:type="pct"/>
            <w:tcBorders>
              <w:top w:val="single" w:sz="4" w:space="0" w:color="auto"/>
              <w:left w:val="single" w:sz="4" w:space="0" w:color="auto"/>
              <w:bottom w:val="single" w:sz="4" w:space="0" w:color="auto"/>
              <w:right w:val="single" w:sz="4" w:space="0" w:color="auto"/>
            </w:tcBorders>
            <w:hideMark/>
          </w:tcPr>
          <w:p w14:paraId="546F7ECB"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5460218A"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6F38546"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74C959D"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2800</w:t>
            </w:r>
          </w:p>
        </w:tc>
        <w:tc>
          <w:tcPr>
            <w:tcW w:w="631" w:type="pct"/>
            <w:tcBorders>
              <w:top w:val="single" w:sz="4" w:space="0" w:color="auto"/>
              <w:left w:val="single" w:sz="4" w:space="0" w:color="auto"/>
              <w:bottom w:val="single" w:sz="4" w:space="0" w:color="auto"/>
              <w:right w:val="single" w:sz="4" w:space="0" w:color="auto"/>
            </w:tcBorders>
          </w:tcPr>
          <w:p w14:paraId="601470F0"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A4158" w:rsidRPr="00705B88" w14:paraId="6D6293FD" w14:textId="77777777" w:rsidTr="00B8675F">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5C76A75"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56" w:type="pct"/>
            <w:tcBorders>
              <w:top w:val="single" w:sz="4" w:space="0" w:color="auto"/>
              <w:left w:val="single" w:sz="4" w:space="0" w:color="auto"/>
              <w:bottom w:val="single" w:sz="4" w:space="0" w:color="auto"/>
              <w:right w:val="single" w:sz="4" w:space="0" w:color="auto"/>
            </w:tcBorders>
            <w:hideMark/>
          </w:tcPr>
          <w:p w14:paraId="5E4BF726"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2355552F"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BB1A087"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8681438"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3400</w:t>
            </w:r>
          </w:p>
        </w:tc>
        <w:tc>
          <w:tcPr>
            <w:tcW w:w="631" w:type="pct"/>
            <w:tcBorders>
              <w:top w:val="single" w:sz="4" w:space="0" w:color="auto"/>
              <w:left w:val="single" w:sz="4" w:space="0" w:color="auto"/>
              <w:bottom w:val="single" w:sz="4" w:space="0" w:color="auto"/>
              <w:right w:val="single" w:sz="4" w:space="0" w:color="auto"/>
            </w:tcBorders>
          </w:tcPr>
          <w:p w14:paraId="1BDC4C29"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A4158" w:rsidRPr="00705B88" w14:paraId="5DE4EF1E" w14:textId="77777777" w:rsidTr="00B8675F">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D43B9B"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w:t>
            </w:r>
          </w:p>
        </w:tc>
        <w:tc>
          <w:tcPr>
            <w:tcW w:w="2256" w:type="pct"/>
            <w:tcBorders>
              <w:top w:val="single" w:sz="4" w:space="0" w:color="auto"/>
              <w:left w:val="single" w:sz="4" w:space="0" w:color="auto"/>
              <w:bottom w:val="single" w:sz="4" w:space="0" w:color="auto"/>
              <w:right w:val="single" w:sz="4" w:space="0" w:color="auto"/>
            </w:tcBorders>
            <w:hideMark/>
          </w:tcPr>
          <w:p w14:paraId="5DFF9C52"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21CEF19"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B0D6ED9"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D62295C"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2200</w:t>
            </w:r>
          </w:p>
        </w:tc>
        <w:tc>
          <w:tcPr>
            <w:tcW w:w="631" w:type="pct"/>
            <w:tcBorders>
              <w:top w:val="single" w:sz="4" w:space="0" w:color="auto"/>
              <w:left w:val="single" w:sz="4" w:space="0" w:color="auto"/>
              <w:bottom w:val="single" w:sz="4" w:space="0" w:color="auto"/>
              <w:right w:val="single" w:sz="4" w:space="0" w:color="auto"/>
            </w:tcBorders>
          </w:tcPr>
          <w:p w14:paraId="69D9A6E8"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738821DF" w14:textId="77777777" w:rsidTr="00B8675F">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2B62DC3"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4</w:t>
            </w:r>
          </w:p>
        </w:tc>
        <w:tc>
          <w:tcPr>
            <w:tcW w:w="2256" w:type="pct"/>
            <w:tcBorders>
              <w:top w:val="single" w:sz="4" w:space="0" w:color="auto"/>
              <w:left w:val="single" w:sz="4" w:space="0" w:color="auto"/>
              <w:bottom w:val="single" w:sz="4" w:space="0" w:color="auto"/>
              <w:right w:val="single" w:sz="4" w:space="0" w:color="auto"/>
            </w:tcBorders>
            <w:hideMark/>
          </w:tcPr>
          <w:p w14:paraId="12065FD8"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19979852"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7BB33C4"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3BDC5F7"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2800</w:t>
            </w:r>
          </w:p>
        </w:tc>
        <w:tc>
          <w:tcPr>
            <w:tcW w:w="631" w:type="pct"/>
            <w:tcBorders>
              <w:top w:val="single" w:sz="4" w:space="0" w:color="auto"/>
              <w:left w:val="single" w:sz="4" w:space="0" w:color="auto"/>
              <w:bottom w:val="single" w:sz="4" w:space="0" w:color="auto"/>
              <w:right w:val="single" w:sz="4" w:space="0" w:color="auto"/>
            </w:tcBorders>
          </w:tcPr>
          <w:p w14:paraId="72604D73"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A4158" w:rsidRPr="00705B88" w14:paraId="10BEFE97" w14:textId="77777777" w:rsidTr="00B8675F">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88853D5"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56" w:type="pct"/>
            <w:tcBorders>
              <w:top w:val="single" w:sz="4" w:space="0" w:color="auto"/>
              <w:left w:val="single" w:sz="4" w:space="0" w:color="auto"/>
              <w:bottom w:val="single" w:sz="4" w:space="0" w:color="auto"/>
              <w:right w:val="single" w:sz="4" w:space="0" w:color="auto"/>
            </w:tcBorders>
            <w:hideMark/>
          </w:tcPr>
          <w:p w14:paraId="3104FAE8"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271A58AB"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8C86F6A"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C67006F"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2300</w:t>
            </w:r>
          </w:p>
        </w:tc>
        <w:tc>
          <w:tcPr>
            <w:tcW w:w="631" w:type="pct"/>
            <w:tcBorders>
              <w:top w:val="single" w:sz="4" w:space="0" w:color="auto"/>
              <w:left w:val="single" w:sz="4" w:space="0" w:color="auto"/>
              <w:bottom w:val="single" w:sz="4" w:space="0" w:color="auto"/>
              <w:right w:val="single" w:sz="4" w:space="0" w:color="auto"/>
            </w:tcBorders>
          </w:tcPr>
          <w:p w14:paraId="168894BE"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739ACF56" w14:textId="77777777" w:rsidTr="00B8675F">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0A3997DD"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5E83A4D1"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7B56D438"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4D185092"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38D7BDFE"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47A081A7"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6A4158" w:rsidRPr="00705B88" w14:paraId="71AF9AC4" w14:textId="77777777" w:rsidTr="00B8675F">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511171F"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56" w:type="pct"/>
            <w:tcBorders>
              <w:top w:val="single" w:sz="4" w:space="0" w:color="auto"/>
              <w:left w:val="single" w:sz="4" w:space="0" w:color="auto"/>
              <w:bottom w:val="single" w:sz="4" w:space="0" w:color="auto"/>
              <w:right w:val="single" w:sz="4" w:space="0" w:color="auto"/>
            </w:tcBorders>
            <w:hideMark/>
          </w:tcPr>
          <w:p w14:paraId="4BB0C3EC"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57590F66"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EB08DA8"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6371217"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29BDCEB4"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2B480083" w14:textId="77777777" w:rsidTr="00B8675F">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8D14710"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56" w:type="pct"/>
            <w:tcBorders>
              <w:top w:val="single" w:sz="4" w:space="0" w:color="auto"/>
              <w:left w:val="single" w:sz="4" w:space="0" w:color="auto"/>
              <w:bottom w:val="single" w:sz="4" w:space="0" w:color="auto"/>
              <w:right w:val="single" w:sz="4" w:space="0" w:color="auto"/>
            </w:tcBorders>
            <w:hideMark/>
          </w:tcPr>
          <w:p w14:paraId="0FA02661"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0DED0A91"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9BB2069"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AD73DC6"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2E69C8C5"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03857BC2" w14:textId="77777777" w:rsidTr="00B8675F">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4487E5B"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56" w:type="pct"/>
            <w:tcBorders>
              <w:top w:val="single" w:sz="4" w:space="0" w:color="auto"/>
              <w:left w:val="single" w:sz="4" w:space="0" w:color="auto"/>
              <w:bottom w:val="single" w:sz="4" w:space="0" w:color="auto"/>
              <w:right w:val="single" w:sz="4" w:space="0" w:color="auto"/>
            </w:tcBorders>
            <w:hideMark/>
          </w:tcPr>
          <w:p w14:paraId="6C241796"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3FA9CDFA"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04FCCA7"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06B24E5"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1800</w:t>
            </w:r>
          </w:p>
        </w:tc>
        <w:tc>
          <w:tcPr>
            <w:tcW w:w="631" w:type="pct"/>
            <w:tcBorders>
              <w:top w:val="single" w:sz="4" w:space="0" w:color="auto"/>
              <w:left w:val="single" w:sz="4" w:space="0" w:color="auto"/>
              <w:bottom w:val="single" w:sz="4" w:space="0" w:color="auto"/>
              <w:right w:val="single" w:sz="4" w:space="0" w:color="auto"/>
            </w:tcBorders>
          </w:tcPr>
          <w:p w14:paraId="69733357"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A4158" w:rsidRPr="00705B88" w14:paraId="05E02000" w14:textId="77777777" w:rsidTr="00B8675F">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2E96B36"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56" w:type="pct"/>
            <w:tcBorders>
              <w:top w:val="single" w:sz="4" w:space="0" w:color="auto"/>
              <w:left w:val="single" w:sz="4" w:space="0" w:color="auto"/>
              <w:bottom w:val="single" w:sz="4" w:space="0" w:color="auto"/>
              <w:right w:val="single" w:sz="4" w:space="0" w:color="auto"/>
            </w:tcBorders>
            <w:hideMark/>
          </w:tcPr>
          <w:p w14:paraId="3FC2D720"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30C3BEAB"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60766A01"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9CD97EF"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190</w:t>
            </w:r>
          </w:p>
        </w:tc>
        <w:tc>
          <w:tcPr>
            <w:tcW w:w="631" w:type="pct"/>
            <w:tcBorders>
              <w:top w:val="single" w:sz="4" w:space="0" w:color="auto"/>
              <w:left w:val="single" w:sz="4" w:space="0" w:color="auto"/>
              <w:bottom w:val="single" w:sz="4" w:space="0" w:color="auto"/>
              <w:right w:val="single" w:sz="4" w:space="0" w:color="auto"/>
            </w:tcBorders>
          </w:tcPr>
          <w:p w14:paraId="1F4A710F"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0,07</w:t>
            </w:r>
          </w:p>
        </w:tc>
      </w:tr>
      <w:tr w:rsidR="006A4158" w:rsidRPr="00705B88" w14:paraId="5383982F" w14:textId="77777777" w:rsidTr="00B8675F">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238416C"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56" w:type="pct"/>
            <w:tcBorders>
              <w:top w:val="single" w:sz="4" w:space="0" w:color="auto"/>
              <w:left w:val="single" w:sz="4" w:space="0" w:color="auto"/>
              <w:bottom w:val="single" w:sz="4" w:space="0" w:color="auto"/>
              <w:right w:val="single" w:sz="4" w:space="0" w:color="auto"/>
            </w:tcBorders>
            <w:hideMark/>
          </w:tcPr>
          <w:p w14:paraId="43328029"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36B7A05"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4D34C31E"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C2E43AA"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190</w:t>
            </w:r>
          </w:p>
        </w:tc>
        <w:tc>
          <w:tcPr>
            <w:tcW w:w="631" w:type="pct"/>
            <w:tcBorders>
              <w:top w:val="single" w:sz="4" w:space="0" w:color="auto"/>
              <w:left w:val="single" w:sz="4" w:space="0" w:color="auto"/>
              <w:bottom w:val="single" w:sz="4" w:space="0" w:color="auto"/>
              <w:right w:val="single" w:sz="4" w:space="0" w:color="auto"/>
            </w:tcBorders>
          </w:tcPr>
          <w:p w14:paraId="15E6D4EF"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0,07</w:t>
            </w:r>
          </w:p>
        </w:tc>
      </w:tr>
      <w:tr w:rsidR="006A4158" w:rsidRPr="00705B88" w14:paraId="75E629C9" w14:textId="77777777" w:rsidTr="00B8675F">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A722839"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56" w:type="pct"/>
            <w:tcBorders>
              <w:top w:val="single" w:sz="4" w:space="0" w:color="auto"/>
              <w:left w:val="single" w:sz="4" w:space="0" w:color="auto"/>
              <w:bottom w:val="single" w:sz="4" w:space="0" w:color="auto"/>
              <w:right w:val="single" w:sz="4" w:space="0" w:color="auto"/>
            </w:tcBorders>
            <w:hideMark/>
          </w:tcPr>
          <w:p w14:paraId="087E1B28"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68E4782A"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cBorders>
          </w:tcPr>
          <w:p w14:paraId="1FE2CAA9"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A858258"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200</w:t>
            </w:r>
          </w:p>
        </w:tc>
        <w:tc>
          <w:tcPr>
            <w:tcW w:w="631" w:type="pct"/>
            <w:tcBorders>
              <w:top w:val="single" w:sz="4" w:space="0" w:color="auto"/>
              <w:left w:val="single" w:sz="4" w:space="0" w:color="auto"/>
              <w:bottom w:val="single" w:sz="4" w:space="0" w:color="auto"/>
              <w:right w:val="single" w:sz="4" w:space="0" w:color="auto"/>
            </w:tcBorders>
          </w:tcPr>
          <w:p w14:paraId="4EE658B6"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0,07</w:t>
            </w:r>
          </w:p>
        </w:tc>
      </w:tr>
      <w:tr w:rsidR="006A4158" w:rsidRPr="00705B88" w14:paraId="0DE0239C" w14:textId="77777777" w:rsidTr="00B8675F">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19DE04E6"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756EAF36"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3244ABA5"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0F79AAB1"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4996024C"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250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1AE2E7B7"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A4158" w:rsidRPr="00705B88" w14:paraId="4F5ACA26" w14:textId="77777777" w:rsidTr="00B8675F">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6AC2E020"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511D1E44"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651EED18"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6E7A9C1D"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70C4020A"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280</w:t>
            </w:r>
          </w:p>
        </w:tc>
        <w:tc>
          <w:tcPr>
            <w:tcW w:w="631" w:type="pct"/>
            <w:tcBorders>
              <w:top w:val="single" w:sz="4" w:space="0" w:color="auto"/>
              <w:left w:val="single" w:sz="4" w:space="0" w:color="auto"/>
              <w:bottom w:val="single" w:sz="4" w:space="0" w:color="auto"/>
              <w:right w:val="single" w:sz="4" w:space="0" w:color="auto"/>
              <w:tl2br w:val="nil"/>
              <w:tr2bl w:val="nil"/>
            </w:tcBorders>
          </w:tcPr>
          <w:p w14:paraId="2A8F1D10"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A4158" w:rsidRPr="00705B88" w14:paraId="5007AEA4" w14:textId="77777777" w:rsidTr="00B8675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909FDC0"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2256" w:type="pct"/>
            <w:tcBorders>
              <w:top w:val="single" w:sz="4" w:space="0" w:color="auto"/>
              <w:left w:val="single" w:sz="4" w:space="0" w:color="auto"/>
              <w:bottom w:val="single" w:sz="4" w:space="0" w:color="auto"/>
              <w:right w:val="single" w:sz="4" w:space="0" w:color="auto"/>
            </w:tcBorders>
            <w:hideMark/>
          </w:tcPr>
          <w:p w14:paraId="3F58A8CF"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4750E2EB"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51E236C"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04195BC"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2300</w:t>
            </w:r>
          </w:p>
        </w:tc>
        <w:tc>
          <w:tcPr>
            <w:tcW w:w="631" w:type="pct"/>
            <w:tcBorders>
              <w:top w:val="single" w:sz="4" w:space="0" w:color="auto"/>
              <w:left w:val="single" w:sz="4" w:space="0" w:color="auto"/>
              <w:bottom w:val="single" w:sz="4" w:space="0" w:color="auto"/>
              <w:right w:val="single" w:sz="4" w:space="0" w:color="auto"/>
            </w:tcBorders>
          </w:tcPr>
          <w:p w14:paraId="1F1A53A5"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394ACA45" w14:textId="77777777" w:rsidTr="00B8675F">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1C3B147"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56" w:type="pct"/>
            <w:tcBorders>
              <w:top w:val="single" w:sz="4" w:space="0" w:color="auto"/>
              <w:left w:val="single" w:sz="4" w:space="0" w:color="auto"/>
              <w:bottom w:val="single" w:sz="4" w:space="0" w:color="auto"/>
              <w:right w:val="single" w:sz="4" w:space="0" w:color="auto"/>
            </w:tcBorders>
            <w:hideMark/>
          </w:tcPr>
          <w:p w14:paraId="5B74D99E"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CCD60A9"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E01FA33"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CE86952"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3200</w:t>
            </w:r>
          </w:p>
        </w:tc>
        <w:tc>
          <w:tcPr>
            <w:tcW w:w="631" w:type="pct"/>
            <w:tcBorders>
              <w:top w:val="single" w:sz="4" w:space="0" w:color="auto"/>
              <w:left w:val="single" w:sz="4" w:space="0" w:color="auto"/>
              <w:bottom w:val="single" w:sz="4" w:space="0" w:color="auto"/>
              <w:right w:val="single" w:sz="4" w:space="0" w:color="auto"/>
            </w:tcBorders>
          </w:tcPr>
          <w:p w14:paraId="4B1D2CC1"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38BB3CD5" w14:textId="77777777" w:rsidTr="00B8675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53E90F6"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56" w:type="pct"/>
            <w:tcBorders>
              <w:top w:val="single" w:sz="4" w:space="0" w:color="auto"/>
              <w:left w:val="single" w:sz="4" w:space="0" w:color="auto"/>
              <w:bottom w:val="single" w:sz="4" w:space="0" w:color="auto"/>
              <w:right w:val="single" w:sz="4" w:space="0" w:color="auto"/>
            </w:tcBorders>
            <w:hideMark/>
          </w:tcPr>
          <w:p w14:paraId="4C4BE351"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165C6BE0"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2A334DB"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A2FB682"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3400</w:t>
            </w:r>
          </w:p>
        </w:tc>
        <w:tc>
          <w:tcPr>
            <w:tcW w:w="631" w:type="pct"/>
            <w:tcBorders>
              <w:top w:val="single" w:sz="4" w:space="0" w:color="auto"/>
              <w:left w:val="single" w:sz="4" w:space="0" w:color="auto"/>
              <w:bottom w:val="single" w:sz="4" w:space="0" w:color="auto"/>
              <w:right w:val="single" w:sz="4" w:space="0" w:color="auto"/>
            </w:tcBorders>
          </w:tcPr>
          <w:p w14:paraId="13798A4C"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767D9AC3" w14:textId="77777777" w:rsidTr="00B8675F">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2198C34"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56" w:type="pct"/>
            <w:tcBorders>
              <w:top w:val="single" w:sz="4" w:space="0" w:color="auto"/>
              <w:left w:val="single" w:sz="4" w:space="0" w:color="auto"/>
              <w:bottom w:val="single" w:sz="4" w:space="0" w:color="auto"/>
              <w:right w:val="single" w:sz="4" w:space="0" w:color="auto"/>
            </w:tcBorders>
            <w:hideMark/>
          </w:tcPr>
          <w:p w14:paraId="29244BAF"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078332B"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E4FEB1C"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AFB7FFD"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4300</w:t>
            </w:r>
          </w:p>
        </w:tc>
        <w:tc>
          <w:tcPr>
            <w:tcW w:w="631" w:type="pct"/>
            <w:tcBorders>
              <w:top w:val="single" w:sz="4" w:space="0" w:color="auto"/>
              <w:left w:val="single" w:sz="4" w:space="0" w:color="auto"/>
              <w:bottom w:val="single" w:sz="4" w:space="0" w:color="auto"/>
              <w:right w:val="single" w:sz="4" w:space="0" w:color="auto"/>
            </w:tcBorders>
          </w:tcPr>
          <w:p w14:paraId="4D69FF8D"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181FE1EB" w14:textId="77777777" w:rsidTr="00B8675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BA7232D"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56" w:type="pct"/>
            <w:tcBorders>
              <w:top w:val="single" w:sz="4" w:space="0" w:color="auto"/>
              <w:left w:val="single" w:sz="4" w:space="0" w:color="auto"/>
              <w:bottom w:val="single" w:sz="4" w:space="0" w:color="auto"/>
              <w:right w:val="single" w:sz="4" w:space="0" w:color="auto"/>
            </w:tcBorders>
            <w:hideMark/>
          </w:tcPr>
          <w:p w14:paraId="65FD4465"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035C8BC"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A62994E"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3A02A56"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3900</w:t>
            </w:r>
          </w:p>
        </w:tc>
        <w:tc>
          <w:tcPr>
            <w:tcW w:w="631" w:type="pct"/>
            <w:tcBorders>
              <w:top w:val="single" w:sz="4" w:space="0" w:color="auto"/>
              <w:left w:val="single" w:sz="4" w:space="0" w:color="auto"/>
              <w:bottom w:val="single" w:sz="4" w:space="0" w:color="auto"/>
              <w:right w:val="single" w:sz="4" w:space="0" w:color="auto"/>
            </w:tcBorders>
          </w:tcPr>
          <w:p w14:paraId="12851FC1"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740002BA" w14:textId="77777777" w:rsidTr="00B8675F">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A2AADB2"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56" w:type="pct"/>
            <w:tcBorders>
              <w:top w:val="single" w:sz="4" w:space="0" w:color="auto"/>
              <w:left w:val="single" w:sz="4" w:space="0" w:color="auto"/>
              <w:bottom w:val="single" w:sz="4" w:space="0" w:color="auto"/>
              <w:right w:val="single" w:sz="4" w:space="0" w:color="auto"/>
            </w:tcBorders>
            <w:hideMark/>
          </w:tcPr>
          <w:p w14:paraId="7256376A"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098CEB9"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13F7ABB"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B542495"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4500</w:t>
            </w:r>
          </w:p>
        </w:tc>
        <w:tc>
          <w:tcPr>
            <w:tcW w:w="631" w:type="pct"/>
            <w:tcBorders>
              <w:top w:val="single" w:sz="4" w:space="0" w:color="auto"/>
              <w:left w:val="single" w:sz="4" w:space="0" w:color="auto"/>
              <w:bottom w:val="single" w:sz="4" w:space="0" w:color="auto"/>
              <w:right w:val="single" w:sz="4" w:space="0" w:color="auto"/>
            </w:tcBorders>
          </w:tcPr>
          <w:p w14:paraId="160C615E"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21997E58" w14:textId="77777777" w:rsidTr="00B8675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F758086"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21</w:t>
            </w:r>
          </w:p>
        </w:tc>
        <w:tc>
          <w:tcPr>
            <w:tcW w:w="2256" w:type="pct"/>
            <w:tcBorders>
              <w:top w:val="single" w:sz="4" w:space="0" w:color="auto"/>
              <w:left w:val="single" w:sz="4" w:space="0" w:color="auto"/>
              <w:bottom w:val="single" w:sz="4" w:space="0" w:color="auto"/>
              <w:right w:val="single" w:sz="4" w:space="0" w:color="auto"/>
            </w:tcBorders>
            <w:hideMark/>
          </w:tcPr>
          <w:p w14:paraId="19D05E56"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69BFD1EC"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7EE52BEA"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8D2A067"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4300</w:t>
            </w:r>
          </w:p>
        </w:tc>
        <w:tc>
          <w:tcPr>
            <w:tcW w:w="631" w:type="pct"/>
            <w:tcBorders>
              <w:top w:val="single" w:sz="4" w:space="0" w:color="auto"/>
              <w:left w:val="single" w:sz="4" w:space="0" w:color="auto"/>
              <w:bottom w:val="single" w:sz="4" w:space="0" w:color="auto"/>
              <w:right w:val="single" w:sz="4" w:space="0" w:color="auto"/>
            </w:tcBorders>
          </w:tcPr>
          <w:p w14:paraId="03605495"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3A6E71E4" w14:textId="77777777" w:rsidTr="00B8675F">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890C1E0"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22</w:t>
            </w:r>
          </w:p>
        </w:tc>
        <w:tc>
          <w:tcPr>
            <w:tcW w:w="2256" w:type="pct"/>
            <w:tcBorders>
              <w:top w:val="single" w:sz="4" w:space="0" w:color="auto"/>
              <w:left w:val="single" w:sz="4" w:space="0" w:color="auto"/>
              <w:bottom w:val="single" w:sz="4" w:space="0" w:color="auto"/>
              <w:right w:val="single" w:sz="4" w:space="0" w:color="auto"/>
            </w:tcBorders>
            <w:hideMark/>
          </w:tcPr>
          <w:p w14:paraId="046A61EE"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003B99BE"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985BCEF"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AADC50F"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4900</w:t>
            </w:r>
          </w:p>
        </w:tc>
        <w:tc>
          <w:tcPr>
            <w:tcW w:w="631" w:type="pct"/>
            <w:tcBorders>
              <w:top w:val="single" w:sz="4" w:space="0" w:color="auto"/>
              <w:left w:val="single" w:sz="4" w:space="0" w:color="auto"/>
              <w:bottom w:val="single" w:sz="4" w:space="0" w:color="auto"/>
              <w:right w:val="single" w:sz="4" w:space="0" w:color="auto"/>
            </w:tcBorders>
          </w:tcPr>
          <w:p w14:paraId="276DCD6C"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7E6ACE92" w14:textId="77777777" w:rsidTr="00B8675F">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A140082"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56" w:type="pct"/>
            <w:tcBorders>
              <w:top w:val="single" w:sz="4" w:space="0" w:color="auto"/>
              <w:left w:val="single" w:sz="4" w:space="0" w:color="auto"/>
              <w:bottom w:val="single" w:sz="4" w:space="0" w:color="auto"/>
              <w:right w:val="single" w:sz="4" w:space="0" w:color="auto"/>
            </w:tcBorders>
            <w:hideMark/>
          </w:tcPr>
          <w:p w14:paraId="2C645C69"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139F22D"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70C6D82"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2D1E0CE"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1800</w:t>
            </w:r>
          </w:p>
        </w:tc>
        <w:tc>
          <w:tcPr>
            <w:tcW w:w="631" w:type="pct"/>
            <w:tcBorders>
              <w:top w:val="single" w:sz="4" w:space="0" w:color="auto"/>
              <w:left w:val="single" w:sz="4" w:space="0" w:color="auto"/>
              <w:bottom w:val="single" w:sz="4" w:space="0" w:color="auto"/>
              <w:right w:val="single" w:sz="4" w:space="0" w:color="auto"/>
            </w:tcBorders>
          </w:tcPr>
          <w:p w14:paraId="08AA0ABE"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76C1982E" w14:textId="77777777" w:rsidTr="00B8675F">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283B60A"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56" w:type="pct"/>
            <w:tcBorders>
              <w:top w:val="single" w:sz="4" w:space="0" w:color="auto"/>
              <w:left w:val="single" w:sz="4" w:space="0" w:color="auto"/>
              <w:bottom w:val="single" w:sz="4" w:space="0" w:color="auto"/>
              <w:right w:val="single" w:sz="4" w:space="0" w:color="auto"/>
            </w:tcBorders>
            <w:hideMark/>
          </w:tcPr>
          <w:p w14:paraId="71EB9956"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7666742C"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5383A69B"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7C9B746D"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2200</w:t>
            </w:r>
          </w:p>
        </w:tc>
        <w:tc>
          <w:tcPr>
            <w:tcW w:w="631" w:type="pct"/>
            <w:tcBorders>
              <w:top w:val="single" w:sz="4" w:space="0" w:color="auto"/>
              <w:left w:val="single" w:sz="4" w:space="0" w:color="auto"/>
              <w:bottom w:val="single" w:sz="4" w:space="0" w:color="auto"/>
              <w:right w:val="single" w:sz="4" w:space="0" w:color="auto"/>
            </w:tcBorders>
          </w:tcPr>
          <w:p w14:paraId="72CE7DEB"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236C39B6" w14:textId="77777777" w:rsidTr="00B8675F">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BF807A1"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56" w:type="pct"/>
            <w:tcBorders>
              <w:top w:val="single" w:sz="4" w:space="0" w:color="auto"/>
              <w:left w:val="single" w:sz="4" w:space="0" w:color="auto"/>
              <w:bottom w:val="single" w:sz="4" w:space="0" w:color="auto"/>
              <w:right w:val="single" w:sz="4" w:space="0" w:color="auto"/>
            </w:tcBorders>
            <w:hideMark/>
          </w:tcPr>
          <w:p w14:paraId="7549B37B"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7776999"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B1AEC6C"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42ECBCE8"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2700</w:t>
            </w:r>
          </w:p>
        </w:tc>
        <w:tc>
          <w:tcPr>
            <w:tcW w:w="631" w:type="pct"/>
            <w:tcBorders>
              <w:top w:val="single" w:sz="4" w:space="0" w:color="auto"/>
              <w:left w:val="single" w:sz="4" w:space="0" w:color="auto"/>
              <w:bottom w:val="single" w:sz="4" w:space="0" w:color="auto"/>
              <w:right w:val="single" w:sz="4" w:space="0" w:color="auto"/>
            </w:tcBorders>
          </w:tcPr>
          <w:p w14:paraId="0F17E9AD"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2D38C723" w14:textId="77777777" w:rsidTr="00B8675F">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9EEC6E0"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26</w:t>
            </w:r>
          </w:p>
        </w:tc>
        <w:tc>
          <w:tcPr>
            <w:tcW w:w="2256" w:type="pct"/>
            <w:tcBorders>
              <w:top w:val="single" w:sz="4" w:space="0" w:color="auto"/>
              <w:left w:val="single" w:sz="4" w:space="0" w:color="auto"/>
              <w:bottom w:val="single" w:sz="4" w:space="0" w:color="auto"/>
              <w:right w:val="single" w:sz="4" w:space="0" w:color="auto"/>
            </w:tcBorders>
            <w:hideMark/>
          </w:tcPr>
          <w:p w14:paraId="285024FE"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25A7DECB"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41AE644"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700945A"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3300</w:t>
            </w:r>
          </w:p>
        </w:tc>
        <w:tc>
          <w:tcPr>
            <w:tcW w:w="631" w:type="pct"/>
            <w:tcBorders>
              <w:top w:val="single" w:sz="4" w:space="0" w:color="auto"/>
              <w:left w:val="single" w:sz="4" w:space="0" w:color="auto"/>
              <w:bottom w:val="single" w:sz="4" w:space="0" w:color="auto"/>
              <w:right w:val="single" w:sz="4" w:space="0" w:color="auto"/>
            </w:tcBorders>
          </w:tcPr>
          <w:p w14:paraId="3C47E569"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621F0853" w14:textId="77777777" w:rsidTr="00B8675F">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63C42F5"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27</w:t>
            </w:r>
          </w:p>
        </w:tc>
        <w:tc>
          <w:tcPr>
            <w:tcW w:w="2256" w:type="pct"/>
            <w:tcBorders>
              <w:top w:val="single" w:sz="4" w:space="0" w:color="auto"/>
              <w:left w:val="single" w:sz="4" w:space="0" w:color="auto"/>
              <w:bottom w:val="single" w:sz="4" w:space="0" w:color="auto"/>
              <w:right w:val="single" w:sz="4" w:space="0" w:color="auto"/>
            </w:tcBorders>
            <w:hideMark/>
          </w:tcPr>
          <w:p w14:paraId="00E1A885"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630" w:type="pct"/>
            <w:tcBorders>
              <w:top w:val="single" w:sz="4" w:space="0" w:color="auto"/>
              <w:left w:val="single" w:sz="4" w:space="0" w:color="auto"/>
              <w:bottom w:val="single" w:sz="4" w:space="0" w:color="auto"/>
              <w:right w:val="single" w:sz="4" w:space="0" w:color="auto"/>
            </w:tcBorders>
            <w:hideMark/>
          </w:tcPr>
          <w:p w14:paraId="6C0A9F00"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E82B50A"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768378C"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2000</w:t>
            </w:r>
          </w:p>
        </w:tc>
        <w:tc>
          <w:tcPr>
            <w:tcW w:w="631" w:type="pct"/>
            <w:tcBorders>
              <w:top w:val="single" w:sz="4" w:space="0" w:color="auto"/>
              <w:left w:val="single" w:sz="4" w:space="0" w:color="auto"/>
              <w:bottom w:val="single" w:sz="4" w:space="0" w:color="auto"/>
              <w:right w:val="single" w:sz="4" w:space="0" w:color="auto"/>
            </w:tcBorders>
          </w:tcPr>
          <w:p w14:paraId="6427B386"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A4158" w:rsidRPr="00705B88" w14:paraId="1C1CE804" w14:textId="77777777" w:rsidTr="00B8675F">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B8F4087"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56" w:type="pct"/>
            <w:tcBorders>
              <w:top w:val="single" w:sz="4" w:space="0" w:color="auto"/>
              <w:left w:val="single" w:sz="4" w:space="0" w:color="auto"/>
              <w:bottom w:val="single" w:sz="4" w:space="0" w:color="auto"/>
              <w:right w:val="single" w:sz="4" w:space="0" w:color="auto"/>
            </w:tcBorders>
            <w:hideMark/>
          </w:tcPr>
          <w:p w14:paraId="21AB55DC"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30" w:type="pct"/>
            <w:tcBorders>
              <w:top w:val="single" w:sz="4" w:space="0" w:color="auto"/>
              <w:left w:val="single" w:sz="4" w:space="0" w:color="auto"/>
              <w:bottom w:val="single" w:sz="4" w:space="0" w:color="auto"/>
              <w:right w:val="single" w:sz="4" w:space="0" w:color="auto"/>
            </w:tcBorders>
            <w:hideMark/>
          </w:tcPr>
          <w:p w14:paraId="45099218"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1B366CE6"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11FC86A7"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1FC67901"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A4158" w:rsidRPr="00705B88" w14:paraId="6B347434" w14:textId="77777777" w:rsidTr="00B8675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BFDB454"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56" w:type="pct"/>
            <w:tcBorders>
              <w:top w:val="single" w:sz="4" w:space="0" w:color="auto"/>
              <w:left w:val="single" w:sz="4" w:space="0" w:color="auto"/>
              <w:bottom w:val="single" w:sz="4" w:space="0" w:color="auto"/>
              <w:right w:val="single" w:sz="4" w:space="0" w:color="auto"/>
            </w:tcBorders>
            <w:hideMark/>
          </w:tcPr>
          <w:p w14:paraId="6EFBA9F1"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47B381EE"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C8C5935"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F47269D"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1000</w:t>
            </w:r>
          </w:p>
        </w:tc>
        <w:tc>
          <w:tcPr>
            <w:tcW w:w="631" w:type="pct"/>
            <w:tcBorders>
              <w:top w:val="single" w:sz="4" w:space="0" w:color="auto"/>
              <w:left w:val="single" w:sz="4" w:space="0" w:color="auto"/>
              <w:bottom w:val="single" w:sz="4" w:space="0" w:color="auto"/>
              <w:right w:val="single" w:sz="4" w:space="0" w:color="auto"/>
            </w:tcBorders>
          </w:tcPr>
          <w:p w14:paraId="27A11F24"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A4158" w:rsidRPr="00705B88" w14:paraId="18A0A112" w14:textId="77777777" w:rsidTr="00B8675F">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65ADDB5"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56" w:type="pct"/>
            <w:tcBorders>
              <w:top w:val="single" w:sz="4" w:space="0" w:color="auto"/>
              <w:left w:val="single" w:sz="4" w:space="0" w:color="auto"/>
              <w:bottom w:val="single" w:sz="4" w:space="0" w:color="auto"/>
              <w:right w:val="single" w:sz="4" w:space="0" w:color="auto"/>
            </w:tcBorders>
            <w:hideMark/>
          </w:tcPr>
          <w:p w14:paraId="76F85B77"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30D9E7F5"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32A46212"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67530BA0"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1100</w:t>
            </w:r>
          </w:p>
        </w:tc>
        <w:tc>
          <w:tcPr>
            <w:tcW w:w="631" w:type="pct"/>
            <w:tcBorders>
              <w:top w:val="single" w:sz="4" w:space="0" w:color="auto"/>
              <w:left w:val="single" w:sz="4" w:space="0" w:color="auto"/>
              <w:bottom w:val="single" w:sz="4" w:space="0" w:color="auto"/>
              <w:right w:val="single" w:sz="4" w:space="0" w:color="auto"/>
            </w:tcBorders>
          </w:tcPr>
          <w:p w14:paraId="77F1F714"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06E88452" w14:textId="77777777" w:rsidTr="00B8675F">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54FEB1B"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56" w:type="pct"/>
            <w:tcBorders>
              <w:top w:val="single" w:sz="4" w:space="0" w:color="auto"/>
              <w:left w:val="single" w:sz="4" w:space="0" w:color="auto"/>
              <w:bottom w:val="single" w:sz="4" w:space="0" w:color="auto"/>
              <w:right w:val="single" w:sz="4" w:space="0" w:color="auto"/>
            </w:tcBorders>
            <w:hideMark/>
          </w:tcPr>
          <w:p w14:paraId="45FB5428"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55D86B34"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A95A093"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93E1CD2"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5700</w:t>
            </w:r>
          </w:p>
        </w:tc>
        <w:tc>
          <w:tcPr>
            <w:tcW w:w="631" w:type="pct"/>
            <w:tcBorders>
              <w:top w:val="single" w:sz="4" w:space="0" w:color="auto"/>
              <w:left w:val="single" w:sz="4" w:space="0" w:color="auto"/>
              <w:bottom w:val="single" w:sz="4" w:space="0" w:color="auto"/>
              <w:right w:val="single" w:sz="4" w:space="0" w:color="auto"/>
            </w:tcBorders>
          </w:tcPr>
          <w:p w14:paraId="2EE4499B"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5841AEE6" w14:textId="77777777" w:rsidTr="00B8675F">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128FC6E"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56" w:type="pct"/>
            <w:tcBorders>
              <w:top w:val="single" w:sz="4" w:space="0" w:color="auto"/>
              <w:left w:val="single" w:sz="4" w:space="0" w:color="auto"/>
              <w:bottom w:val="single" w:sz="4" w:space="0" w:color="auto"/>
              <w:right w:val="single" w:sz="4" w:space="0" w:color="auto"/>
            </w:tcBorders>
            <w:hideMark/>
          </w:tcPr>
          <w:p w14:paraId="3C68DC1B" w14:textId="77777777" w:rsidR="006A4158" w:rsidRPr="0029045C"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1DD0D0FA"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6EEDC023"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1F0FD32"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2600</w:t>
            </w:r>
          </w:p>
        </w:tc>
        <w:tc>
          <w:tcPr>
            <w:tcW w:w="631" w:type="pct"/>
            <w:tcBorders>
              <w:top w:val="single" w:sz="4" w:space="0" w:color="auto"/>
              <w:left w:val="single" w:sz="4" w:space="0" w:color="auto"/>
              <w:bottom w:val="single" w:sz="4" w:space="0" w:color="auto"/>
              <w:right w:val="single" w:sz="4" w:space="0" w:color="auto"/>
            </w:tcBorders>
          </w:tcPr>
          <w:p w14:paraId="052E3205"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A4158" w:rsidRPr="00705B88" w14:paraId="6A323546" w14:textId="77777777" w:rsidTr="00B8675F">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ADF9986"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33</w:t>
            </w:r>
          </w:p>
        </w:tc>
        <w:tc>
          <w:tcPr>
            <w:tcW w:w="2256" w:type="pct"/>
            <w:tcBorders>
              <w:top w:val="single" w:sz="4" w:space="0" w:color="auto"/>
              <w:left w:val="single" w:sz="4" w:space="0" w:color="auto"/>
              <w:bottom w:val="single" w:sz="4" w:space="0" w:color="auto"/>
              <w:right w:val="single" w:sz="4" w:space="0" w:color="auto"/>
            </w:tcBorders>
            <w:hideMark/>
          </w:tcPr>
          <w:p w14:paraId="1F11A012" w14:textId="77777777" w:rsidR="006A4158" w:rsidRPr="0029045C"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023685B8"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0B499A5"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B771275"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3800</w:t>
            </w:r>
          </w:p>
        </w:tc>
        <w:tc>
          <w:tcPr>
            <w:tcW w:w="631" w:type="pct"/>
            <w:tcBorders>
              <w:top w:val="single" w:sz="4" w:space="0" w:color="auto"/>
              <w:left w:val="single" w:sz="4" w:space="0" w:color="auto"/>
              <w:bottom w:val="single" w:sz="4" w:space="0" w:color="auto"/>
              <w:right w:val="single" w:sz="4" w:space="0" w:color="auto"/>
            </w:tcBorders>
          </w:tcPr>
          <w:p w14:paraId="120BCFDE"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A4158" w:rsidRPr="00705B88" w14:paraId="1541CCDD" w14:textId="77777777" w:rsidTr="00B8675F">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332BAC6"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56" w:type="pct"/>
            <w:tcBorders>
              <w:top w:val="single" w:sz="4" w:space="0" w:color="auto"/>
              <w:left w:val="single" w:sz="4" w:space="0" w:color="auto"/>
              <w:bottom w:val="single" w:sz="4" w:space="0" w:color="auto"/>
              <w:right w:val="single" w:sz="4" w:space="0" w:color="auto"/>
            </w:tcBorders>
            <w:hideMark/>
          </w:tcPr>
          <w:p w14:paraId="6C341525" w14:textId="77777777" w:rsidR="006A4158" w:rsidRPr="0029045C"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251C16C4"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1A22D74"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05B6833A"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4200</w:t>
            </w:r>
          </w:p>
        </w:tc>
        <w:tc>
          <w:tcPr>
            <w:tcW w:w="631" w:type="pct"/>
            <w:tcBorders>
              <w:top w:val="single" w:sz="4" w:space="0" w:color="auto"/>
              <w:left w:val="single" w:sz="4" w:space="0" w:color="auto"/>
              <w:bottom w:val="single" w:sz="4" w:space="0" w:color="auto"/>
              <w:right w:val="single" w:sz="4" w:space="0" w:color="auto"/>
            </w:tcBorders>
          </w:tcPr>
          <w:p w14:paraId="45D4F181"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6A4158" w:rsidRPr="00705B88" w14:paraId="3446CE90" w14:textId="77777777" w:rsidTr="00B8675F">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85CFC73"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35</w:t>
            </w:r>
          </w:p>
        </w:tc>
        <w:tc>
          <w:tcPr>
            <w:tcW w:w="2256" w:type="pct"/>
            <w:tcBorders>
              <w:top w:val="single" w:sz="4" w:space="0" w:color="auto"/>
              <w:left w:val="single" w:sz="4" w:space="0" w:color="auto"/>
              <w:bottom w:val="single" w:sz="4" w:space="0" w:color="auto"/>
              <w:right w:val="single" w:sz="4" w:space="0" w:color="auto"/>
            </w:tcBorders>
            <w:hideMark/>
          </w:tcPr>
          <w:p w14:paraId="424D8A2A"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33BA448D"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0BE4A028"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5CE0C438"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240</w:t>
            </w:r>
          </w:p>
        </w:tc>
        <w:tc>
          <w:tcPr>
            <w:tcW w:w="631" w:type="pct"/>
            <w:tcBorders>
              <w:top w:val="single" w:sz="4" w:space="0" w:color="auto"/>
              <w:left w:val="single" w:sz="4" w:space="0" w:color="auto"/>
              <w:bottom w:val="single" w:sz="4" w:space="0" w:color="auto"/>
              <w:right w:val="single" w:sz="4" w:space="0" w:color="auto"/>
            </w:tcBorders>
          </w:tcPr>
          <w:p w14:paraId="35D48032"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6A4158" w:rsidRPr="00705B88" w14:paraId="3831182D" w14:textId="77777777" w:rsidTr="00B8675F">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B6F4055" w14:textId="77777777" w:rsidR="006A4158" w:rsidRPr="00F32246" w:rsidRDefault="006A4158" w:rsidP="00B8675F">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56" w:type="pct"/>
            <w:tcBorders>
              <w:top w:val="single" w:sz="4" w:space="0" w:color="auto"/>
              <w:left w:val="single" w:sz="4" w:space="0" w:color="auto"/>
              <w:bottom w:val="single" w:sz="4" w:space="0" w:color="auto"/>
              <w:right w:val="single" w:sz="4" w:space="0" w:color="auto"/>
            </w:tcBorders>
            <w:hideMark/>
          </w:tcPr>
          <w:p w14:paraId="1603C470"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2993C213"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24890E06"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8EBBBB8"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2600</w:t>
            </w:r>
          </w:p>
        </w:tc>
        <w:tc>
          <w:tcPr>
            <w:tcW w:w="631" w:type="pct"/>
            <w:tcBorders>
              <w:top w:val="single" w:sz="4" w:space="0" w:color="auto"/>
              <w:left w:val="single" w:sz="4" w:space="0" w:color="auto"/>
              <w:bottom w:val="single" w:sz="4" w:space="0" w:color="auto"/>
              <w:right w:val="single" w:sz="4" w:space="0" w:color="auto"/>
            </w:tcBorders>
          </w:tcPr>
          <w:p w14:paraId="468D5CE2"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6A4158" w:rsidRPr="00705B88" w14:paraId="28F27240" w14:textId="77777777" w:rsidTr="00B8675F">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4E795A87" w14:textId="77777777" w:rsidR="006A4158" w:rsidRPr="00F32246" w:rsidRDefault="006A4158" w:rsidP="00B8675F">
            <w:pPr>
              <w:jc w:val="center"/>
              <w:rPr>
                <w:rFonts w:ascii="Calibri" w:hAnsi="Calibri" w:cs="Calibri"/>
                <w:color w:val="000000"/>
                <w:sz w:val="16"/>
                <w:szCs w:val="16"/>
              </w:rPr>
            </w:pPr>
            <w:r>
              <w:rPr>
                <w:rFonts w:ascii="Calibri" w:hAnsi="Calibri" w:cs="Calibri"/>
                <w:color w:val="000000"/>
                <w:sz w:val="16"/>
                <w:szCs w:val="16"/>
              </w:rPr>
              <w:t>37</w:t>
            </w:r>
          </w:p>
        </w:tc>
        <w:tc>
          <w:tcPr>
            <w:tcW w:w="2256" w:type="pct"/>
            <w:tcBorders>
              <w:top w:val="single" w:sz="4" w:space="0" w:color="auto"/>
              <w:left w:val="single" w:sz="4" w:space="0" w:color="auto"/>
              <w:bottom w:val="single" w:sz="4" w:space="0" w:color="auto"/>
              <w:right w:val="single" w:sz="4" w:space="0" w:color="auto"/>
            </w:tcBorders>
          </w:tcPr>
          <w:p w14:paraId="2092C144"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2366ED">
              <w:rPr>
                <w:rFonts w:ascii="Calibri" w:hAnsi="Calibri" w:cs="Calibri"/>
                <w:color w:val="000000"/>
                <w:sz w:val="16"/>
                <w:szCs w:val="16"/>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390D0779" w14:textId="77777777" w:rsidR="006A4158" w:rsidRPr="00F32246"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3E48885"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31562ECF" w14:textId="77777777" w:rsidR="006A415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1300</w:t>
            </w:r>
          </w:p>
        </w:tc>
        <w:tc>
          <w:tcPr>
            <w:tcW w:w="631" w:type="pct"/>
            <w:tcBorders>
              <w:top w:val="single" w:sz="4" w:space="0" w:color="auto"/>
              <w:left w:val="single" w:sz="4" w:space="0" w:color="auto"/>
              <w:bottom w:val="single" w:sz="4" w:space="0" w:color="auto"/>
              <w:right w:val="single" w:sz="4" w:space="0" w:color="auto"/>
            </w:tcBorders>
          </w:tcPr>
          <w:p w14:paraId="524E8288" w14:textId="77777777" w:rsidR="006A4158" w:rsidRPr="00705B88" w:rsidRDefault="006A4158" w:rsidP="00B8675F">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r>
      <w:tr w:rsidR="006A4158" w:rsidRPr="00705B88" w14:paraId="0DFC5F3A" w14:textId="77777777" w:rsidTr="00B8675F">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7815C8BA" w14:textId="77777777" w:rsidR="006A4158" w:rsidRDefault="006A4158" w:rsidP="00B8675F">
            <w:pPr>
              <w:jc w:val="center"/>
              <w:rPr>
                <w:rFonts w:ascii="Calibri" w:hAnsi="Calibri" w:cs="Calibri"/>
                <w:color w:val="000000"/>
                <w:sz w:val="16"/>
                <w:szCs w:val="16"/>
              </w:rPr>
            </w:pPr>
            <w:r>
              <w:rPr>
                <w:rFonts w:ascii="Calibri" w:hAnsi="Calibri" w:cs="Calibri"/>
                <w:color w:val="000000"/>
                <w:sz w:val="16"/>
                <w:szCs w:val="16"/>
              </w:rPr>
              <w:t>38</w:t>
            </w:r>
          </w:p>
        </w:tc>
        <w:tc>
          <w:tcPr>
            <w:tcW w:w="2256" w:type="pct"/>
            <w:tcBorders>
              <w:top w:val="single" w:sz="4" w:space="0" w:color="auto"/>
              <w:left w:val="single" w:sz="4" w:space="0" w:color="auto"/>
              <w:bottom w:val="single" w:sz="4" w:space="0" w:color="auto"/>
              <w:right w:val="single" w:sz="4" w:space="0" w:color="auto"/>
            </w:tcBorders>
          </w:tcPr>
          <w:p w14:paraId="76C292B6"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2366ED">
              <w:rPr>
                <w:rFonts w:ascii="Calibri" w:hAnsi="Calibri" w:cs="Calibri"/>
                <w:color w:val="000000"/>
                <w:sz w:val="16"/>
                <w:szCs w:val="16"/>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218335CC" w14:textId="77777777" w:rsidR="006A4158" w:rsidRPr="00F32246"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32" w:type="pct"/>
            <w:tcBorders>
              <w:top w:val="single" w:sz="4" w:space="0" w:color="auto"/>
              <w:left w:val="single" w:sz="4" w:space="0" w:color="auto"/>
              <w:bottom w:val="single" w:sz="4" w:space="0" w:color="auto"/>
              <w:right w:val="single" w:sz="4" w:space="0" w:color="auto"/>
            </w:tcBorders>
          </w:tcPr>
          <w:p w14:paraId="41B39951"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31" w:type="pct"/>
            <w:tcBorders>
              <w:top w:val="single" w:sz="4" w:space="0" w:color="auto"/>
              <w:left w:val="single" w:sz="4" w:space="0" w:color="auto"/>
              <w:bottom w:val="single" w:sz="4" w:space="0" w:color="auto"/>
              <w:right w:val="single" w:sz="4" w:space="0" w:color="auto"/>
            </w:tcBorders>
          </w:tcPr>
          <w:p w14:paraId="220D99D6" w14:textId="77777777" w:rsidR="006A415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2100</w:t>
            </w:r>
          </w:p>
        </w:tc>
        <w:tc>
          <w:tcPr>
            <w:tcW w:w="631" w:type="pct"/>
            <w:tcBorders>
              <w:top w:val="single" w:sz="4" w:space="0" w:color="auto"/>
              <w:left w:val="single" w:sz="4" w:space="0" w:color="auto"/>
              <w:bottom w:val="single" w:sz="4" w:space="0" w:color="auto"/>
              <w:right w:val="single" w:sz="4" w:space="0" w:color="auto"/>
            </w:tcBorders>
          </w:tcPr>
          <w:p w14:paraId="7ED35F4F" w14:textId="77777777" w:rsidR="006A4158" w:rsidRPr="00705B88" w:rsidRDefault="006A4158" w:rsidP="00B8675F">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r>
    </w:tbl>
    <w:p w14:paraId="678B9FDA" w14:textId="160282A4" w:rsidR="00305559" w:rsidRPr="0050155D" w:rsidRDefault="00305559" w:rsidP="00305D75">
      <w:pPr>
        <w:pStyle w:val="Nagwek2"/>
        <w:widowControl w:val="0"/>
        <w:numPr>
          <w:ilvl w:val="0"/>
          <w:numId w:val="35"/>
        </w:numPr>
        <w:spacing w:before="120" w:after="120" w:line="240" w:lineRule="exact"/>
        <w:ind w:left="0" w:hanging="28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w:t>
      </w:r>
      <w:r w:rsidR="00AA2A98" w:rsidRPr="00EC0467">
        <w:rPr>
          <w:rFonts w:asciiTheme="minorHAnsi" w:hAnsiTheme="minorHAnsi" w:cstheme="minorHAnsi"/>
          <w:sz w:val="20"/>
          <w:lang w:eastAsia="pl-PL"/>
        </w:rPr>
        <w:lastRenderedPageBreak/>
        <w:t>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BCA243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8D4C5F">
        <w:rPr>
          <w:rFonts w:asciiTheme="minorHAnsi" w:hAnsiTheme="minorHAnsi" w:cstheme="minorHAnsi"/>
          <w:sz w:val="20"/>
          <w:lang w:eastAsia="pl-PL"/>
        </w:rPr>
        <w:t>1</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1E5696BD"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8D4C5F">
        <w:rPr>
          <w:rFonts w:asciiTheme="minorHAnsi" w:hAnsiTheme="minorHAnsi" w:cstheme="minorHAnsi"/>
          <w:sz w:val="20"/>
        </w:rPr>
        <w:t>1</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6A4158"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6A4158"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59EFF72C" w14:textId="1CDAC7D1" w:rsidR="008D4C5F" w:rsidRPr="008D4C5F" w:rsidRDefault="008655D5" w:rsidP="008D4C5F">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lastRenderedPageBreak/>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F440F05"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D4C5F">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8D4C5F">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090A456"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6A4158">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6A4158">
      <w:rPr>
        <w:rFonts w:ascii="Calibri" w:hAnsi="Calibri"/>
        <w:b/>
        <w:bCs/>
        <w:noProof/>
        <w:szCs w:val="16"/>
      </w:rPr>
      <w:t>8</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DE59A5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AB2CE" w14:textId="15D5281C" w:rsidR="008D4C5F" w:rsidRPr="00C81CC9" w:rsidRDefault="008D4C5F" w:rsidP="008D4C5F">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B6A727D" wp14:editId="0DB6DD63">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1417594979"/>
        <w:placeholder>
          <w:docPart w:val="D9E13A316F1D47629A420D84558288DC"/>
        </w:placeholder>
        <w:dataBinding w:prefixMappings="xmlns:ns0='http://schemas.openxmlformats.org/package/2006/metadata/core-properties' xmlns:ns1='http://purl.org/dc/elements/1.1/'" w:xpath="/ns0:coreProperties[1]/ns1:subject[1]" w:storeItemID="{6C3C8BC8-F283-45AE-878A-BAB7291924A1}"/>
        <w:text/>
      </w:sdtPr>
      <w:sdtEndPr/>
      <w:sdtContent>
        <w:r w:rsidR="006A4158">
          <w:rPr>
            <w:rFonts w:ascii="Calibri" w:hAnsi="Calibri" w:cs="Calibri"/>
            <w:b/>
            <w:sz w:val="18"/>
            <w:szCs w:val="18"/>
          </w:rPr>
          <w:t>POST/DYS/OB/LZA/03290/2024</w:t>
        </w:r>
      </w:sdtContent>
    </w:sdt>
  </w:p>
  <w:p w14:paraId="0A1069E6" w14:textId="77777777" w:rsidR="008D4C5F" w:rsidRDefault="008D4C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645BAE5A"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8D4C5F" w:rsidRPr="008D4C5F">
          <w:rPr>
            <w:rFonts w:ascii="Calibri" w:hAnsi="Calibri" w:cs="Calibri"/>
            <w:sz w:val="18"/>
            <w:szCs w:val="18"/>
          </w:rPr>
          <w:t>POST/DYS/OB/LZA/</w:t>
        </w:r>
        <w:r w:rsidR="00305D75">
          <w:rPr>
            <w:rFonts w:ascii="Calibri" w:hAnsi="Calibri" w:cs="Calibri"/>
            <w:sz w:val="18"/>
            <w:szCs w:val="18"/>
          </w:rPr>
          <w:t>0</w:t>
        </w:r>
        <w:r w:rsidR="006A4158">
          <w:rPr>
            <w:rFonts w:ascii="Calibri" w:hAnsi="Calibri" w:cs="Calibri"/>
            <w:sz w:val="18"/>
            <w:szCs w:val="18"/>
          </w:rPr>
          <w:t>3290</w:t>
        </w:r>
        <w:r w:rsidR="00305D75">
          <w:rPr>
            <w:rFonts w:ascii="Calibri" w:hAnsi="Calibri" w:cs="Calibri"/>
            <w:sz w:val="18"/>
            <w:szCs w:val="18"/>
          </w:rPr>
          <w:t>/202</w:t>
        </w:r>
        <w:r w:rsidR="00076EE8">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1E16"/>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6EE8"/>
    <w:rsid w:val="000803BD"/>
    <w:rsid w:val="00080A9B"/>
    <w:rsid w:val="00080B96"/>
    <w:rsid w:val="000828EC"/>
    <w:rsid w:val="00084F1A"/>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3FE7"/>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C9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4FBD"/>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D75"/>
    <w:rsid w:val="00306A0D"/>
    <w:rsid w:val="00311086"/>
    <w:rsid w:val="00312DDC"/>
    <w:rsid w:val="00312E60"/>
    <w:rsid w:val="00315D82"/>
    <w:rsid w:val="00315F10"/>
    <w:rsid w:val="0031608E"/>
    <w:rsid w:val="00317DAA"/>
    <w:rsid w:val="00320018"/>
    <w:rsid w:val="00320639"/>
    <w:rsid w:val="003206E7"/>
    <w:rsid w:val="003235BC"/>
    <w:rsid w:val="00323B18"/>
    <w:rsid w:val="0032500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556"/>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97FD0"/>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119F"/>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E9D"/>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4158"/>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558"/>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3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332"/>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78A"/>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4872"/>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8A7"/>
    <w:rsid w:val="008D3A21"/>
    <w:rsid w:val="008D4B69"/>
    <w:rsid w:val="008D4C5F"/>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2C5B"/>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8B3"/>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CAF"/>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3E10"/>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4D3D"/>
    <w:rsid w:val="00B2044B"/>
    <w:rsid w:val="00B21EAD"/>
    <w:rsid w:val="00B2373F"/>
    <w:rsid w:val="00B237DF"/>
    <w:rsid w:val="00B23B55"/>
    <w:rsid w:val="00B25A6E"/>
    <w:rsid w:val="00B26ADC"/>
    <w:rsid w:val="00B27DE8"/>
    <w:rsid w:val="00B27FAB"/>
    <w:rsid w:val="00B3005C"/>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A54"/>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A790E"/>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38E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426C"/>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07F"/>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687"/>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85A"/>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E7F"/>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4EB"/>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8D4C5F"/>
    <w:pPr>
      <w:numPr>
        <w:numId w:val="36"/>
      </w:numPr>
      <w:spacing w:after="200" w:line="240" w:lineRule="auto"/>
      <w:jc w:val="left"/>
    </w:pPr>
    <w:rPr>
      <w:b/>
    </w:rPr>
  </w:style>
  <w:style w:type="table" w:styleId="Tabelalisty4akcent5">
    <w:name w:val="List Table 4 Accent 5"/>
    <w:basedOn w:val="Standardowy"/>
    <w:uiPriority w:val="49"/>
    <w:rsid w:val="008D4C5F"/>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D9E13A316F1D47629A420D84558288DC"/>
        <w:category>
          <w:name w:val="Ogólne"/>
          <w:gallery w:val="placeholder"/>
        </w:category>
        <w:types>
          <w:type w:val="bbPlcHdr"/>
        </w:types>
        <w:behaviors>
          <w:behavior w:val="content"/>
        </w:behaviors>
        <w:guid w:val="{7E03F6B0-5F80-4B18-8BBB-8258AEE93D9C}"/>
      </w:docPartPr>
      <w:docPartBody>
        <w:p w:rsidR="00BB39C5" w:rsidRDefault="00B14B09" w:rsidP="00B14B09">
          <w:pPr>
            <w:pStyle w:val="D9E13A316F1D47629A420D84558288D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B14B09"/>
    <w:rsid w:val="00BB39C5"/>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D9E13A316F1D47629A420D84558288DC">
    <w:name w:val="D9E13A316F1D47629A420D84558288DC"/>
    <w:rsid w:val="00B14B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15232B43B3FC04DB358F4B02E848436" ma:contentTypeVersion="0" ma:contentTypeDescription="SWPP2 Dokument bazowy" ma:contentTypeScope="" ma:versionID="04996cdd8be3a3a56eb9f20fde3d5e1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3290 - Załącznik nr 3 do SWZ - Formularz ofertowy.docx</dmsv2BaseFileName>
    <dmsv2BaseDisplayName xmlns="http://schemas.microsoft.com/sharepoint/v3">3290 - Załącznik nr 3 do SWZ - Formularz ofertowy</dmsv2BaseDisplayName>
    <dmsv2SWPP2ObjectNumber xmlns="http://schemas.microsoft.com/sharepoint/v3">POST/DYS/OB/LZA/03290/2024                        </dmsv2SWPP2ObjectNumber>
    <dmsv2SWPP2SumMD5 xmlns="http://schemas.microsoft.com/sharepoint/v3">fc6c6f07031f4e9f2107bf923be9e8ec</dmsv2SWPP2SumMD5>
    <dmsv2BaseMoved xmlns="http://schemas.microsoft.com/sharepoint/v3">false</dmsv2BaseMoved>
    <dmsv2BaseIsSensitive xmlns="http://schemas.microsoft.com/sharepoint/v3">true</dmsv2BaseIsSensitive>
    <dmsv2SWPP2IDSWPP2 xmlns="http://schemas.microsoft.com/sharepoint/v3">662182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21078323</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AEASQFSYQUA4-38277551-386</_dlc_DocId>
    <_dlc_DocIdUrl xmlns="a19cb1c7-c5c7-46d4-85ae-d83685407bba">
      <Url>https://swpp2.dms.gkpge.pl/sites/32/_layouts/15/DocIdRedir.aspx?ID=AEASQFSYQUA4-38277551-386</Url>
      <Description>AEASQFSYQUA4-38277551-386</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1F5BF06-1B29-40EB-8DB2-E7DF33A8F78F}"/>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F512E50-2470-4316-8CB2-1C2E268117D4}">
  <ds:schemaRefs>
    <ds:schemaRef ds:uri="http://schemas.openxmlformats.org/officeDocument/2006/bibliography"/>
  </ds:schemaRefs>
</ds:datastoreItem>
</file>

<file path=customXml/itemProps6.xml><?xml version="1.0" encoding="utf-8"?>
<ds:datastoreItem xmlns:ds="http://schemas.openxmlformats.org/officeDocument/2006/customXml" ds:itemID="{4B2CBA54-3B42-43B4-B6E1-9E98C88C17FA}"/>
</file>

<file path=docProps/app.xml><?xml version="1.0" encoding="utf-8"?>
<Properties xmlns="http://schemas.openxmlformats.org/officeDocument/2006/extended-properties" xmlns:vt="http://schemas.openxmlformats.org/officeDocument/2006/docPropsVTypes">
  <Template>Normal</Template>
  <TotalTime>2167</TotalTime>
  <Pages>8</Pages>
  <Words>2544</Words>
  <Characters>15264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POST/DYS/OB/LZA/03290/2024</dc:subject>
  <dc:creator>Okraszewska Anna [PGE S.A.];Anna Okraszewska NzO nowa ustawa PZP</dc:creator>
  <cp:keywords/>
  <dc:description/>
  <cp:lastModifiedBy>Węclewicz Michał [PGE Dystr. O.Białystok]</cp:lastModifiedBy>
  <cp:revision>382</cp:revision>
  <cp:lastPrinted>2021-03-08T07:37:00Z</cp:lastPrinted>
  <dcterms:created xsi:type="dcterms:W3CDTF">2020-12-30T21:22:00Z</dcterms:created>
  <dcterms:modified xsi:type="dcterms:W3CDTF">2024-11-20T07:41:00Z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0x0101891000815232B43B3FC04DB358F4B02E848436</vt:lpwstr>
  </property>
  <property fmtid="{D5CDD505-2E9C-101B-9397-08002B2CF9AE}" pid="3" name="_dlc_DocIdItemGuid">
    <vt:lpwstr>bd8eb820-dfce-4bfc-b28f-47175d4292db</vt:lpwstr>
  </property>
</Properties>
</file>