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7FA4F031" w:rsidR="00125A99" w:rsidRPr="0031592B" w:rsidRDefault="008D5ACE" w:rsidP="00BB495F">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E0696">
        <w:rPr>
          <w:rFonts w:asciiTheme="minorHAnsi" w:hAnsiTheme="minorHAnsi" w:cstheme="minorHAnsi"/>
          <w:b/>
          <w:bCs/>
          <w:sz w:val="20"/>
        </w:rPr>
        <w:t>POST/DYS/OB/LZA/0</w:t>
      </w:r>
      <w:r w:rsidR="00CE6F32">
        <w:rPr>
          <w:rFonts w:asciiTheme="minorHAnsi" w:hAnsiTheme="minorHAnsi" w:cstheme="minorHAnsi"/>
          <w:b/>
          <w:bCs/>
          <w:sz w:val="20"/>
        </w:rPr>
        <w:t>3</w:t>
      </w:r>
      <w:r w:rsidR="00BB495F">
        <w:rPr>
          <w:rFonts w:asciiTheme="minorHAnsi" w:hAnsiTheme="minorHAnsi" w:cstheme="minorHAnsi"/>
          <w:b/>
          <w:bCs/>
          <w:sz w:val="20"/>
        </w:rPr>
        <w:t>140</w:t>
      </w:r>
      <w:r w:rsidR="00F07E35" w:rsidRPr="00CE30E4">
        <w:rPr>
          <w:rFonts w:asciiTheme="minorHAnsi" w:hAnsiTheme="minorHAnsi" w:cstheme="minorHAnsi"/>
          <w:b/>
          <w:bCs/>
          <w:sz w:val="20"/>
        </w:rPr>
        <w:t>/202</w:t>
      </w:r>
      <w:r w:rsidR="00360671">
        <w:rPr>
          <w:rFonts w:asciiTheme="minorHAnsi" w:hAnsiTheme="minorHAnsi" w:cstheme="minorHAnsi"/>
          <w:b/>
          <w:bCs/>
          <w:sz w:val="20"/>
        </w:rPr>
        <w:t>4</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BD62AF">
        <w:rPr>
          <w:rFonts w:asciiTheme="minorHAnsi" w:hAnsiTheme="minorHAnsi" w:cstheme="minorHAnsi"/>
          <w:b/>
          <w:sz w:val="20"/>
          <w:lang w:eastAsia="pl-PL"/>
        </w:rPr>
        <w:t>„</w:t>
      </w:r>
      <w:r w:rsidR="00BB495F" w:rsidRPr="00BB495F">
        <w:rPr>
          <w:rFonts w:asciiTheme="minorHAnsi" w:hAnsiTheme="minorHAnsi" w:cstheme="minorHAnsi"/>
          <w:b/>
          <w:sz w:val="20"/>
          <w:lang w:eastAsia="pl-PL"/>
        </w:rPr>
        <w:t>Sukcesywne projektowanie i wykonywanie elektroenergetycznych przyłączy kablowych na terenie działania Rejonu Energetycznego Bielsk Podlaski - obszar XII wiejski: gmina wiejska Wysokie Mazowieckie, gmina Łapy, gmina Zambrów, gmina Poświętne, gmina Andrzejewo, gmina Kobylin Borzymy</w:t>
      </w:r>
      <w:r w:rsidR="00080D69">
        <w:rPr>
          <w:rFonts w:asciiTheme="minorHAnsi" w:hAnsiTheme="minorHAnsi" w:cstheme="minorHAnsi"/>
          <w:b/>
          <w:sz w:val="20"/>
          <w:lang w:eastAsia="pl-PL"/>
        </w:rPr>
        <w:t>”</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691E7F0C" w14:textId="77777777" w:rsidR="00BB495F" w:rsidRDefault="00BB495F" w:rsidP="00BB495F">
      <w:pPr>
        <w:spacing w:before="120" w:after="120"/>
        <w:ind w:left="360"/>
        <w:contextualSpacing/>
        <w:rPr>
          <w:rFonts w:asciiTheme="majorHAnsi" w:hAnsiTheme="majorHAnsi" w:cstheme="majorHAnsi"/>
          <w:sz w:val="18"/>
          <w:szCs w:val="18"/>
        </w:rPr>
      </w:pPr>
    </w:p>
    <w:p w14:paraId="51FCD87C" w14:textId="77777777" w:rsidR="00BB495F" w:rsidRDefault="00BB495F" w:rsidP="00BB495F">
      <w:pPr>
        <w:spacing w:before="120" w:after="120"/>
        <w:ind w:left="360"/>
        <w:contextualSpacing/>
        <w:rPr>
          <w:rFonts w:asciiTheme="majorHAnsi" w:hAnsiTheme="majorHAnsi" w:cstheme="majorHAnsi"/>
          <w:sz w:val="18"/>
          <w:szCs w:val="18"/>
        </w:rPr>
      </w:pP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BB495F" w:rsidRPr="00F32246" w14:paraId="19F0B72A" w14:textId="77777777" w:rsidTr="00C46B3D">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09E0D0" w14:textId="77777777" w:rsidR="00BB495F" w:rsidRPr="00F32246" w:rsidRDefault="00BB495F" w:rsidP="00C46B3D">
            <w:pPr>
              <w:jc w:val="center"/>
              <w:rPr>
                <w:rFonts w:ascii="Calibri" w:hAnsi="Calibri" w:cs="Calibri"/>
                <w:b w:val="0"/>
                <w:bCs w:val="0"/>
                <w:color w:val="FFFFFF"/>
                <w:sz w:val="16"/>
                <w:szCs w:val="16"/>
              </w:rPr>
            </w:pPr>
            <w:r w:rsidRPr="00F32246">
              <w:rPr>
                <w:rFonts w:ascii="Calibri" w:hAnsi="Calibri" w:cs="Calibri"/>
                <w:b w:val="0"/>
                <w:bCs w:val="0"/>
                <w:color w:val="FFFFFF"/>
                <w:sz w:val="16"/>
                <w:szCs w:val="16"/>
              </w:rPr>
              <w:t>Lp</w:t>
            </w:r>
          </w:p>
        </w:tc>
        <w:tc>
          <w:tcPr>
            <w:tcW w:w="2256" w:type="pct"/>
            <w:tcBorders>
              <w:top w:val="single" w:sz="4" w:space="0" w:color="auto"/>
              <w:left w:val="single" w:sz="4" w:space="0" w:color="auto"/>
              <w:bottom w:val="single" w:sz="4" w:space="0" w:color="auto"/>
              <w:right w:val="single" w:sz="4" w:space="0" w:color="auto"/>
            </w:tcBorders>
            <w:hideMark/>
          </w:tcPr>
          <w:p w14:paraId="52028E9C" w14:textId="77777777" w:rsidR="00BB495F" w:rsidRPr="00F32246" w:rsidRDefault="00BB495F" w:rsidP="00C46B3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4725EB09" w14:textId="77777777" w:rsidR="00BB495F" w:rsidRPr="00F32246" w:rsidRDefault="00BB495F" w:rsidP="00C46B3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14B6957C" w14:textId="77777777" w:rsidR="00BB495F" w:rsidRPr="00705B88" w:rsidRDefault="00BB495F" w:rsidP="00C46B3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3B916806" w14:textId="77777777" w:rsidR="00BB495F" w:rsidRDefault="00BB495F" w:rsidP="00C46B3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54508DF0" w14:textId="77777777" w:rsidR="00BB495F" w:rsidRPr="00705B88" w:rsidRDefault="00BB495F" w:rsidP="00C46B3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31620F46" w14:textId="77777777" w:rsidR="00BB495F" w:rsidRPr="00705B88" w:rsidRDefault="00BB495F" w:rsidP="00C46B3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BB495F" w:rsidRPr="00F32246" w14:paraId="3401B08C" w14:textId="77777777" w:rsidTr="00C46B3D">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2AF8BB7"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638FD3EE"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1FC2333F"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834ACEF"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7DB3DBE"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50DC71AC"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495F" w:rsidRPr="00F32246" w14:paraId="0F41C190" w14:textId="77777777" w:rsidTr="00C46B3D">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FDEB543"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5DDCB357"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76D8EEF0"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B536153"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8C99BF9"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79716BCE"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4106F9CB" w14:textId="77777777" w:rsidTr="00C46B3D">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8AB7160"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2256" w:type="pct"/>
            <w:tcBorders>
              <w:top w:val="single" w:sz="4" w:space="0" w:color="auto"/>
              <w:left w:val="single" w:sz="4" w:space="0" w:color="auto"/>
              <w:bottom w:val="single" w:sz="4" w:space="0" w:color="auto"/>
              <w:right w:val="single" w:sz="4" w:space="0" w:color="auto"/>
            </w:tcBorders>
            <w:hideMark/>
          </w:tcPr>
          <w:p w14:paraId="14295555"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0BB4F1C"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CD6A59B"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19C339A"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1900</w:t>
            </w:r>
          </w:p>
        </w:tc>
        <w:tc>
          <w:tcPr>
            <w:tcW w:w="631" w:type="pct"/>
            <w:tcBorders>
              <w:top w:val="single" w:sz="4" w:space="0" w:color="auto"/>
              <w:left w:val="single" w:sz="4" w:space="0" w:color="auto"/>
              <w:bottom w:val="single" w:sz="4" w:space="0" w:color="auto"/>
              <w:right w:val="single" w:sz="4" w:space="0" w:color="auto"/>
            </w:tcBorders>
          </w:tcPr>
          <w:p w14:paraId="7074845E"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1C570518" w14:textId="77777777" w:rsidTr="00C46B3D">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3A9AD19"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5F627571"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5F405654"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23CAC08"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CA08EBE"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2690CEB7"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74D7680B" w14:textId="77777777" w:rsidTr="00C46B3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16B2F8D"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180C1927"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232DBA59"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C529F42"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8B45FEB"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3AD0BC5F"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5E01813D" w14:textId="77777777" w:rsidTr="00C46B3D">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06BF5E8B"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769AA760"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26140683"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94A9426"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6D22575C"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2400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597E514B"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BB495F" w:rsidRPr="00F32246" w14:paraId="7B1FF980" w14:textId="77777777" w:rsidTr="00C46B3D">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AC7D693"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5F7FC84D"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44341866"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D98E683"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DCFE0D2"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7AF098B9"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42A658C6" w14:textId="77777777" w:rsidTr="00C46B3D">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4B38CED"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47322974"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A6D1A4F"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6973A5D"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2A6F0AE"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796C1674"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3ACFB1F3" w14:textId="77777777" w:rsidTr="00C46B3D">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2A88EDB"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177D22C1"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36AB0CA0"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B101DAE"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44F87F6"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1300</w:t>
            </w:r>
          </w:p>
        </w:tc>
        <w:tc>
          <w:tcPr>
            <w:tcW w:w="631" w:type="pct"/>
            <w:tcBorders>
              <w:top w:val="single" w:sz="4" w:space="0" w:color="auto"/>
              <w:left w:val="single" w:sz="4" w:space="0" w:color="auto"/>
              <w:bottom w:val="single" w:sz="4" w:space="0" w:color="auto"/>
              <w:right w:val="single" w:sz="4" w:space="0" w:color="auto"/>
            </w:tcBorders>
          </w:tcPr>
          <w:p w14:paraId="4A1FA37C"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428596A6" w14:textId="77777777" w:rsidTr="00C46B3D">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CEA9251"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5DFBFB80"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lub linii nN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26EC41AE"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50A0846E"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9055018"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1BDE8449"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B495F" w:rsidRPr="00F32246" w14:paraId="19EC69DC" w14:textId="77777777" w:rsidTr="00C46B3D">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F125A4"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533DB50E"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157C7EF"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1F9DDA3E"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5CA3BC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w:t>
            </w:r>
          </w:p>
        </w:tc>
        <w:tc>
          <w:tcPr>
            <w:tcW w:w="631" w:type="pct"/>
            <w:tcBorders>
              <w:top w:val="single" w:sz="4" w:space="0" w:color="auto"/>
              <w:left w:val="single" w:sz="4" w:space="0" w:color="auto"/>
              <w:bottom w:val="single" w:sz="4" w:space="0" w:color="auto"/>
              <w:right w:val="single" w:sz="4" w:space="0" w:color="auto"/>
            </w:tcBorders>
          </w:tcPr>
          <w:p w14:paraId="3A6398DF"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B495F" w:rsidRPr="00F32246" w14:paraId="6893FF18" w14:textId="77777777" w:rsidTr="00C46B3D">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DA5D99E"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7E9A3AD1"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7DCF5B82"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16F68689"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A93F670"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6961D0CC"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B495F" w:rsidRPr="00F32246" w14:paraId="4DE6341C" w14:textId="77777777" w:rsidTr="00C46B3D">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0AE2585"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03E22514"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5B527DE"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1C71A9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E53A30B"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59A29976"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495F" w:rsidRPr="00F32246" w14:paraId="2057440C" w14:textId="77777777" w:rsidTr="00C46B3D">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369F3C3"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62B92E4B"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7531E4C2"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1621EDCD"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EAC86C0"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250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2BBA2CD9"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495F" w:rsidRPr="00F32246" w14:paraId="4B97B2BD" w14:textId="77777777" w:rsidTr="00C46B3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EDA3136"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2256" w:type="pct"/>
            <w:tcBorders>
              <w:top w:val="single" w:sz="4" w:space="0" w:color="auto"/>
              <w:left w:val="single" w:sz="4" w:space="0" w:color="auto"/>
              <w:bottom w:val="single" w:sz="4" w:space="0" w:color="auto"/>
              <w:right w:val="single" w:sz="4" w:space="0" w:color="auto"/>
            </w:tcBorders>
            <w:hideMark/>
          </w:tcPr>
          <w:p w14:paraId="239ECEF1"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E75C3BA"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6E277AF"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916487E"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46E7F46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23CB74E1" w14:textId="77777777" w:rsidTr="00C46B3D">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5B0D3A8"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3BB48316"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902254">
              <w:rPr>
                <w:rFonts w:ascii="Calibri" w:hAnsi="Calibri" w:cs="Calibri"/>
                <w:sz w:val="16"/>
                <w:szCs w:val="16"/>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715BF88"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8618465"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020F52E"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3000</w:t>
            </w:r>
          </w:p>
        </w:tc>
        <w:tc>
          <w:tcPr>
            <w:tcW w:w="631" w:type="pct"/>
            <w:tcBorders>
              <w:top w:val="single" w:sz="4" w:space="0" w:color="auto"/>
              <w:left w:val="single" w:sz="4" w:space="0" w:color="auto"/>
              <w:bottom w:val="single" w:sz="4" w:space="0" w:color="auto"/>
              <w:right w:val="single" w:sz="4" w:space="0" w:color="auto"/>
            </w:tcBorders>
          </w:tcPr>
          <w:p w14:paraId="5B6A9B0F"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50180C8F" w14:textId="77777777" w:rsidTr="00C46B3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F4F9AD4"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3BF38E9B"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9B2B71D"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8278F1B"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0A9C1CC"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3300</w:t>
            </w:r>
          </w:p>
        </w:tc>
        <w:tc>
          <w:tcPr>
            <w:tcW w:w="631" w:type="pct"/>
            <w:tcBorders>
              <w:top w:val="single" w:sz="4" w:space="0" w:color="auto"/>
              <w:left w:val="single" w:sz="4" w:space="0" w:color="auto"/>
              <w:bottom w:val="single" w:sz="4" w:space="0" w:color="auto"/>
              <w:right w:val="single" w:sz="4" w:space="0" w:color="auto"/>
            </w:tcBorders>
          </w:tcPr>
          <w:p w14:paraId="5B7C716B"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3275F09A" w14:textId="77777777" w:rsidTr="00C46B3D">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5A69900"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234860AE"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AB1B839"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EF52158"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D0D277B"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1CB04C90"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416294B3" w14:textId="77777777" w:rsidTr="00C46B3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19C17F0"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0C4F43C8"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57E81138"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CE968B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162E004"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3700</w:t>
            </w:r>
          </w:p>
        </w:tc>
        <w:tc>
          <w:tcPr>
            <w:tcW w:w="631" w:type="pct"/>
            <w:tcBorders>
              <w:top w:val="single" w:sz="4" w:space="0" w:color="auto"/>
              <w:left w:val="single" w:sz="4" w:space="0" w:color="auto"/>
              <w:bottom w:val="single" w:sz="4" w:space="0" w:color="auto"/>
              <w:right w:val="single" w:sz="4" w:space="0" w:color="auto"/>
            </w:tcBorders>
          </w:tcPr>
          <w:p w14:paraId="6938C17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7E05F972" w14:textId="77777777" w:rsidTr="00C46B3D">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DEF5FC7"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633A63CE"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213C242"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B103172"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745C998"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4100</w:t>
            </w:r>
          </w:p>
        </w:tc>
        <w:tc>
          <w:tcPr>
            <w:tcW w:w="631" w:type="pct"/>
            <w:tcBorders>
              <w:top w:val="single" w:sz="4" w:space="0" w:color="auto"/>
              <w:left w:val="single" w:sz="4" w:space="0" w:color="auto"/>
              <w:bottom w:val="single" w:sz="4" w:space="0" w:color="auto"/>
              <w:right w:val="single" w:sz="4" w:space="0" w:color="auto"/>
            </w:tcBorders>
          </w:tcPr>
          <w:p w14:paraId="6B538443"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65CC0819" w14:textId="77777777" w:rsidTr="00C46B3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3F7509"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0B79C665"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9BCC849"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A5C902E"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C1411A0"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78F4E397"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114C216C" w14:textId="77777777" w:rsidTr="00C46B3D">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F5F84D1"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2256" w:type="pct"/>
            <w:tcBorders>
              <w:top w:val="single" w:sz="4" w:space="0" w:color="auto"/>
              <w:left w:val="single" w:sz="4" w:space="0" w:color="auto"/>
              <w:bottom w:val="single" w:sz="4" w:space="0" w:color="auto"/>
              <w:right w:val="single" w:sz="4" w:space="0" w:color="auto"/>
            </w:tcBorders>
            <w:hideMark/>
          </w:tcPr>
          <w:p w14:paraId="6E7728AE"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C60847C"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DC76AD4"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65A2280"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4200</w:t>
            </w:r>
          </w:p>
        </w:tc>
        <w:tc>
          <w:tcPr>
            <w:tcW w:w="631" w:type="pct"/>
            <w:tcBorders>
              <w:top w:val="single" w:sz="4" w:space="0" w:color="auto"/>
              <w:left w:val="single" w:sz="4" w:space="0" w:color="auto"/>
              <w:bottom w:val="single" w:sz="4" w:space="0" w:color="auto"/>
              <w:right w:val="single" w:sz="4" w:space="0" w:color="auto"/>
            </w:tcBorders>
          </w:tcPr>
          <w:p w14:paraId="7AEA8062"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5C43BA39" w14:textId="77777777" w:rsidTr="00C46B3D">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0AADC6A"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25D6A07B"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751DF3">
              <w:rPr>
                <w:rFonts w:ascii="Calibri" w:hAnsi="Calibri" w:cs="Calibri"/>
                <w:sz w:val="16"/>
                <w:szCs w:val="16"/>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5D75D96"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22E013C"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9F2280C"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1500</w:t>
            </w:r>
          </w:p>
        </w:tc>
        <w:tc>
          <w:tcPr>
            <w:tcW w:w="631" w:type="pct"/>
            <w:tcBorders>
              <w:top w:val="single" w:sz="4" w:space="0" w:color="auto"/>
              <w:left w:val="single" w:sz="4" w:space="0" w:color="auto"/>
              <w:bottom w:val="single" w:sz="4" w:space="0" w:color="auto"/>
              <w:right w:val="single" w:sz="4" w:space="0" w:color="auto"/>
            </w:tcBorders>
          </w:tcPr>
          <w:p w14:paraId="39F7389D"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68A5A065" w14:textId="77777777" w:rsidTr="00C46B3D">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D4BF8B8"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569186C8"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751DF3">
              <w:rPr>
                <w:rFonts w:ascii="Calibri" w:hAnsi="Calibri" w:cs="Calibri"/>
                <w:sz w:val="16"/>
                <w:szCs w:val="16"/>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7EC7BA0"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64F8237"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34350B3"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1700</w:t>
            </w:r>
          </w:p>
        </w:tc>
        <w:tc>
          <w:tcPr>
            <w:tcW w:w="631" w:type="pct"/>
            <w:tcBorders>
              <w:top w:val="single" w:sz="4" w:space="0" w:color="auto"/>
              <w:left w:val="single" w:sz="4" w:space="0" w:color="auto"/>
              <w:bottom w:val="single" w:sz="4" w:space="0" w:color="auto"/>
              <w:right w:val="single" w:sz="4" w:space="0" w:color="auto"/>
            </w:tcBorders>
          </w:tcPr>
          <w:p w14:paraId="687B98E6"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6B890D07" w14:textId="77777777" w:rsidTr="00C46B3D">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50731A9"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7008FA9B"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751DF3">
              <w:rPr>
                <w:rFonts w:ascii="Calibri" w:hAnsi="Calibri" w:cs="Calibri"/>
                <w:sz w:val="16"/>
                <w:szCs w:val="16"/>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38300D3"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3C36382"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9CD6FA9"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49415C91"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18FBC50B" w14:textId="77777777" w:rsidTr="00C46B3D">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C5A408"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50327C54"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BD88FE9"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E15BEF9"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34C54CA"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425D8673"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471ED0E8" w14:textId="77777777" w:rsidTr="00C46B3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DC2F39E"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2256" w:type="pct"/>
            <w:tcBorders>
              <w:top w:val="single" w:sz="4" w:space="0" w:color="auto"/>
              <w:left w:val="single" w:sz="4" w:space="0" w:color="auto"/>
              <w:bottom w:val="single" w:sz="4" w:space="0" w:color="auto"/>
              <w:right w:val="single" w:sz="4" w:space="0" w:color="auto"/>
            </w:tcBorders>
            <w:hideMark/>
          </w:tcPr>
          <w:p w14:paraId="0B08A5DB"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5CF7189"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24390B3"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5130D80"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56F9C59C"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0932AE5C" w14:textId="77777777" w:rsidTr="00C46B3D">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4128F4"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52CCD5DB"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7351BC3"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B76BC36"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1F628C"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1600</w:t>
            </w:r>
          </w:p>
        </w:tc>
        <w:tc>
          <w:tcPr>
            <w:tcW w:w="631" w:type="pct"/>
            <w:tcBorders>
              <w:top w:val="single" w:sz="4" w:space="0" w:color="auto"/>
              <w:left w:val="single" w:sz="4" w:space="0" w:color="auto"/>
              <w:bottom w:val="single" w:sz="4" w:space="0" w:color="auto"/>
              <w:right w:val="single" w:sz="4" w:space="0" w:color="auto"/>
            </w:tcBorders>
          </w:tcPr>
          <w:p w14:paraId="6014634F"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4A5DF9BA" w14:textId="77777777" w:rsidTr="00C46B3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857BF08"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59489E46"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51ECD3BF"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5842AF2"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A703040"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800</w:t>
            </w:r>
          </w:p>
        </w:tc>
        <w:tc>
          <w:tcPr>
            <w:tcW w:w="631" w:type="pct"/>
            <w:tcBorders>
              <w:top w:val="single" w:sz="4" w:space="0" w:color="auto"/>
              <w:left w:val="single" w:sz="4" w:space="0" w:color="auto"/>
              <w:bottom w:val="single" w:sz="4" w:space="0" w:color="auto"/>
              <w:right w:val="single" w:sz="4" w:space="0" w:color="auto"/>
            </w:tcBorders>
          </w:tcPr>
          <w:p w14:paraId="7CF7D2C6"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03A1E888" w14:textId="77777777" w:rsidTr="00C46B3D">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24241E5"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12E6A232"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34E90DE3"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BC6A05E"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E032D5C"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900</w:t>
            </w:r>
          </w:p>
        </w:tc>
        <w:tc>
          <w:tcPr>
            <w:tcW w:w="631" w:type="pct"/>
            <w:tcBorders>
              <w:top w:val="single" w:sz="4" w:space="0" w:color="auto"/>
              <w:left w:val="single" w:sz="4" w:space="0" w:color="auto"/>
              <w:bottom w:val="single" w:sz="4" w:space="0" w:color="auto"/>
              <w:right w:val="single" w:sz="4" w:space="0" w:color="auto"/>
            </w:tcBorders>
          </w:tcPr>
          <w:p w14:paraId="1AEFFBF7"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4AA85B5F" w14:textId="77777777" w:rsidTr="00C46B3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5626CEA"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5BF94019"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041CD8ED"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1BAA768"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0B51A2C"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4EB9D83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4A48F176" w14:textId="77777777" w:rsidTr="00C46B3D">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7C6177D"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457FF74B" w14:textId="77777777" w:rsidR="00BB495F" w:rsidRPr="0029045C"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ŻN w linii napowietrznej nN Pozycja obejmuje: koszt zakupu, dostawy na miejsce budowy, ustawienia i podłączenia słupa wraz z ustojem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593ECCC4"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94250D8"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0245FE9"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6E8047A2"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495F" w:rsidRPr="00F32246" w14:paraId="486C3AF3" w14:textId="77777777" w:rsidTr="00C46B3D">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B640D03"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7854216D" w14:textId="77777777" w:rsidR="00BB495F" w:rsidRPr="0029045C"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10,5/2,5 do E 10,5/6 lub E 12/2,5 do E 12/6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E933DD2"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1B7786F"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693F750"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2583B2B9"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7491D10F" w14:textId="77777777" w:rsidTr="00C46B3D">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B1E4AA6"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5422C25B" w14:textId="77777777" w:rsidR="00BB495F" w:rsidRPr="0029045C"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10,5/10 do E 10,5/15 lub E 12/10 do E 12/15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5487073B"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B2D4B08"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3A4619F"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3100</w:t>
            </w:r>
          </w:p>
        </w:tc>
        <w:tc>
          <w:tcPr>
            <w:tcW w:w="631" w:type="pct"/>
            <w:tcBorders>
              <w:top w:val="single" w:sz="4" w:space="0" w:color="auto"/>
              <w:left w:val="single" w:sz="4" w:space="0" w:color="auto"/>
              <w:bottom w:val="single" w:sz="4" w:space="0" w:color="auto"/>
              <w:right w:val="single" w:sz="4" w:space="0" w:color="auto"/>
            </w:tcBorders>
          </w:tcPr>
          <w:p w14:paraId="04420A4D"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B495F" w:rsidRPr="00F32246" w14:paraId="5766D36A" w14:textId="77777777" w:rsidTr="00C46B3D">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0E2948"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2256" w:type="pct"/>
            <w:tcBorders>
              <w:top w:val="single" w:sz="4" w:space="0" w:color="auto"/>
              <w:left w:val="single" w:sz="4" w:space="0" w:color="auto"/>
              <w:bottom w:val="single" w:sz="4" w:space="0" w:color="auto"/>
              <w:right w:val="single" w:sz="4" w:space="0" w:color="auto"/>
            </w:tcBorders>
            <w:hideMark/>
          </w:tcPr>
          <w:p w14:paraId="4F527A4F"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2A2B09A8"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01E4D8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590B8D7"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cBorders>
          </w:tcPr>
          <w:p w14:paraId="0C0FDB90"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B495F" w:rsidRPr="00F32246" w14:paraId="4EE6BC70" w14:textId="77777777" w:rsidTr="00C46B3D">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EC97AE0" w14:textId="77777777" w:rsidR="00BB495F" w:rsidRPr="00F32246" w:rsidRDefault="00BB495F" w:rsidP="00C46B3D">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327BB666"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4F11246C"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FAF1401"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A9F6339"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2FAE5B06"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B495F" w:rsidRPr="00F32246" w14:paraId="25122EE3" w14:textId="77777777" w:rsidTr="00C46B3D">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04D7E491" w14:textId="77777777" w:rsidR="00BB495F" w:rsidRPr="00F32246" w:rsidRDefault="00BB495F" w:rsidP="00C46B3D">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696833EA"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0E00F8">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5D9C7C69" w14:textId="77777777" w:rsidR="00BB495F" w:rsidRPr="00F32246"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75DB145"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06677D6" w14:textId="77777777" w:rsidR="00BB495F"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1100</w:t>
            </w:r>
          </w:p>
        </w:tc>
        <w:tc>
          <w:tcPr>
            <w:tcW w:w="631" w:type="pct"/>
            <w:tcBorders>
              <w:top w:val="single" w:sz="4" w:space="0" w:color="auto"/>
              <w:left w:val="single" w:sz="4" w:space="0" w:color="auto"/>
              <w:bottom w:val="single" w:sz="4" w:space="0" w:color="auto"/>
              <w:right w:val="single" w:sz="4" w:space="0" w:color="auto"/>
            </w:tcBorders>
          </w:tcPr>
          <w:p w14:paraId="3610296E" w14:textId="77777777" w:rsidR="00BB495F" w:rsidRPr="00705B88" w:rsidRDefault="00BB495F" w:rsidP="00C46B3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0,01</w:t>
            </w:r>
          </w:p>
        </w:tc>
      </w:tr>
      <w:tr w:rsidR="00BB495F" w:rsidRPr="00F32246" w14:paraId="2157DC73" w14:textId="77777777" w:rsidTr="00C46B3D">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459D90B5" w14:textId="77777777" w:rsidR="00BB495F" w:rsidRDefault="00BB495F" w:rsidP="00C46B3D">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48C54C37"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0E00F8">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5409B95D" w14:textId="77777777" w:rsidR="00BB495F" w:rsidRPr="00F32246"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4190765"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F3D62AB" w14:textId="77777777" w:rsidR="00BB495F"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1400</w:t>
            </w:r>
          </w:p>
        </w:tc>
        <w:tc>
          <w:tcPr>
            <w:tcW w:w="631" w:type="pct"/>
            <w:tcBorders>
              <w:top w:val="single" w:sz="4" w:space="0" w:color="auto"/>
              <w:left w:val="single" w:sz="4" w:space="0" w:color="auto"/>
              <w:bottom w:val="single" w:sz="4" w:space="0" w:color="auto"/>
              <w:right w:val="single" w:sz="4" w:space="0" w:color="auto"/>
            </w:tcBorders>
          </w:tcPr>
          <w:p w14:paraId="10FEFDB6" w14:textId="77777777" w:rsidR="00BB495F" w:rsidRPr="00705B88" w:rsidRDefault="00BB495F" w:rsidP="00C46B3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0,02</w:t>
            </w:r>
          </w:p>
        </w:tc>
      </w:tr>
    </w:tbl>
    <w:p w14:paraId="42B0FD7F" w14:textId="77777777" w:rsidR="00BB495F" w:rsidRPr="00A940AF" w:rsidRDefault="00BB495F" w:rsidP="00BB495F">
      <w:pPr>
        <w:spacing w:before="120" w:after="120"/>
        <w:contextualSpacing/>
        <w:rPr>
          <w:rFonts w:asciiTheme="majorHAnsi" w:hAnsiTheme="majorHAnsi" w:cstheme="majorHAnsi"/>
          <w:b/>
          <w:sz w:val="18"/>
          <w:szCs w:val="18"/>
        </w:rPr>
      </w:pPr>
    </w:p>
    <w:p w14:paraId="4F23CCA2" w14:textId="77777777" w:rsidR="00CE6F32" w:rsidRPr="00A940AF" w:rsidRDefault="00CE6F32" w:rsidP="00CE6F32">
      <w:pPr>
        <w:spacing w:before="120" w:after="120"/>
        <w:contextualSpacing/>
        <w:rPr>
          <w:rFonts w:asciiTheme="majorHAnsi" w:hAnsiTheme="majorHAnsi" w:cstheme="majorHAnsi"/>
          <w:b/>
          <w:sz w:val="18"/>
          <w:szCs w:val="18"/>
        </w:rPr>
      </w:pP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B495F"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B495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ACB82" w14:textId="77777777" w:rsidR="00BB495F" w:rsidRDefault="00BB49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CF87650"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B495F">
      <w:rPr>
        <w:rFonts w:ascii="Calibri" w:hAnsi="Calibri"/>
        <w:b/>
        <w:bCs/>
        <w:noProof/>
        <w:szCs w:val="16"/>
      </w:rPr>
      <w:t>5</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B495F">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CC0D4" w14:textId="77777777" w:rsidR="00BB495F" w:rsidRDefault="00BB495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FD8F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F8C4C" w14:textId="77777777" w:rsidR="00BB495F" w:rsidRDefault="00BB49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99E6E1"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CE6F32">
          <w:rPr>
            <w:rFonts w:ascii="Calibri" w:hAnsi="Calibri" w:cs="Calibri"/>
            <w:b/>
            <w:sz w:val="18"/>
            <w:szCs w:val="18"/>
          </w:rPr>
          <w:t>31</w:t>
        </w:r>
        <w:r w:rsidR="00BB495F">
          <w:rPr>
            <w:rFonts w:ascii="Calibri" w:hAnsi="Calibri" w:cs="Calibri"/>
            <w:b/>
            <w:sz w:val="18"/>
            <w:szCs w:val="18"/>
          </w:rPr>
          <w:t>40</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495F"/>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3140 - Załącznik nr 3.docx</dmsv2BaseFileName>
    <dmsv2BaseDisplayName xmlns="http://schemas.microsoft.com/sharepoint/v3">3140 - Załącznik nr 3</dmsv2BaseDisplayName>
    <dmsv2SWPP2ObjectNumber xmlns="http://schemas.microsoft.com/sharepoint/v3">POST/DYS/OB/LZA/03140/2024                        </dmsv2SWPP2ObjectNumber>
    <dmsv2SWPP2SumMD5 xmlns="http://schemas.microsoft.com/sharepoint/v3">657f3b2ba33bf3014c1f8744fcdf5289</dmsv2SWPP2SumMD5>
    <dmsv2BaseMoved xmlns="http://schemas.microsoft.com/sharepoint/v3">false</dmsv2BaseMoved>
    <dmsv2BaseIsSensitive xmlns="http://schemas.microsoft.com/sharepoint/v3">true</dmsv2BaseIsSensitive>
    <dmsv2SWPP2IDSWPP2 xmlns="http://schemas.microsoft.com/sharepoint/v3">660628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20932455</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AEASQFSYQUA4-1784930391-5779</_dlc_DocId>
    <_dlc_DocIdUrl xmlns="a19cb1c7-c5c7-46d4-85ae-d83685407bba">
      <Url>https://swpp2.dms.gkpge.pl/sites/32/_layouts/15/DocIdRedir.aspx?ID=AEASQFSYQUA4-1784930391-5779</Url>
      <Description>AEASQFSYQUA4-1784930391-5779</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A8BF3D25-B970-480E-A5E3-A4D666C2EC7E}"/>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3F332CD0-6D94-4E0B-8A35-23CFD72F1859}">
  <ds:schemaRefs>
    <ds:schemaRef ds:uri="http://schemas.openxmlformats.org/officeDocument/2006/bibliography"/>
  </ds:schemaRefs>
</ds:datastoreItem>
</file>

<file path=customXml/itemProps6.xml><?xml version="1.0" encoding="utf-8"?>
<ds:datastoreItem xmlns:ds="http://schemas.openxmlformats.org/officeDocument/2006/customXml" ds:itemID="{4122886E-73DD-4542-8A87-6792C7C1BE30}"/>
</file>

<file path=docProps/app.xml><?xml version="1.0" encoding="utf-8"?>
<Properties xmlns="http://schemas.openxmlformats.org/officeDocument/2006/extended-properties" xmlns:vt="http://schemas.openxmlformats.org/officeDocument/2006/docPropsVTypes">
  <Template>Normal</Template>
  <TotalTime>2176</TotalTime>
  <Pages>7</Pages>
  <Words>2539</Words>
  <Characters>15237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POST/DYS/OB/LZA/03140/2024</dc:subject>
  <dc:creator>Okraszewska Anna [PGE S.A.];Anna Okraszewska NzO nowa ustawa PZP</dc:creator>
  <cp:keywords/>
  <dc:description/>
  <cp:lastModifiedBy>Niedźwiecki Adam [PGE Dystr. O.Białystok]</cp:lastModifiedBy>
  <cp:revision>398</cp:revision>
  <cp:lastPrinted>2021-03-08T07:37:00Z</cp:lastPrinted>
  <dcterms:created xsi:type="dcterms:W3CDTF">2020-12-30T21:22:00Z</dcterms:created>
  <dcterms:modified xsi:type="dcterms:W3CDTF">2024-10-28T12:36:00Z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06ef5057-5b6e-4778-8440-3f34a32789ae</vt:lpwstr>
  </property>
</Properties>
</file>