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563A70" w:rsidRDefault="007129E9" w:rsidP="00DF53B1">
      <w:pPr>
        <w:rPr>
          <w:rFonts w:asciiTheme="minorHAnsi" w:hAnsiTheme="minorHAnsi" w:cstheme="minorHAnsi"/>
        </w:rPr>
      </w:pPr>
      <w:r w:rsidRPr="007129E9">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563A70" w:rsidRDefault="00DF53B1" w:rsidP="00DF53B1">
      <w:pPr>
        <w:rPr>
          <w:rFonts w:asciiTheme="minorHAnsi" w:hAnsiTheme="minorHAnsi" w:cstheme="minorHAnsi"/>
        </w:rPr>
      </w:pPr>
    </w:p>
    <w:p w14:paraId="271F1896" w14:textId="1819A06D" w:rsidR="00DF53B1" w:rsidRPr="00A96C06" w:rsidRDefault="00DF53B1" w:rsidP="00A96C06">
      <w:pPr>
        <w:pStyle w:val="Nagwek2"/>
        <w:numPr>
          <w:ilvl w:val="0"/>
          <w:numId w:val="0"/>
        </w:numPr>
        <w:spacing w:before="0"/>
        <w:rPr>
          <w:rFonts w:ascii="Verdana" w:hAnsi="Verdana"/>
          <w:b w:val="0"/>
          <w:color w:val="000000"/>
          <w:spacing w:val="-15"/>
          <w:sz w:val="18"/>
          <w:szCs w:val="18"/>
          <w:lang w:val="pl-PL"/>
        </w:rPr>
      </w:pPr>
      <w:r w:rsidRPr="00A96C06">
        <w:rPr>
          <w:rFonts w:ascii="Verdana" w:hAnsi="Verdana" w:cstheme="minorHAnsi"/>
          <w:b w:val="0"/>
          <w:sz w:val="18"/>
          <w:szCs w:val="18"/>
          <w:lang w:val="pl-PL"/>
        </w:rPr>
        <w:t xml:space="preserve">Na potrzeby postępowania o udzielenie zamówienia prowadzonego pn. </w:t>
      </w:r>
      <w:r w:rsidR="00A96C06" w:rsidRPr="00A96C06">
        <w:rPr>
          <w:rFonts w:ascii="Verdana" w:hAnsi="Verdana"/>
          <w:b w:val="0"/>
          <w:i/>
          <w:color w:val="000000"/>
          <w:spacing w:val="-15"/>
          <w:sz w:val="18"/>
          <w:szCs w:val="18"/>
          <w:lang w:val="pl-PL"/>
        </w:rPr>
        <w:t>Sukcesywne opracowywanie dokumentacji projektowych i budowa przyłączy elektroenergetycznych niskiego napięcia na terenie działania Rejonu Energetycznego Białystok Miasto - obszar V WP – Wschód na prawo od ul. Piastowskiej, ul. Kazimierza Wielkiego, ul. Bolesława Krzywoustego, ul. Władysława Wysockiego</w:t>
      </w:r>
      <w:r w:rsidRPr="00A96C06">
        <w:rPr>
          <w:rFonts w:ascii="Verdana" w:hAnsi="Verdana" w:cstheme="minorHAnsi"/>
          <w:b w:val="0"/>
          <w:sz w:val="18"/>
          <w:szCs w:val="18"/>
          <w:lang w:val="pl-PL"/>
        </w:rPr>
        <w:t>, nr POST/DYS/OB/LZA/</w:t>
      </w:r>
      <w:r w:rsidR="0015224E" w:rsidRPr="00A96C06">
        <w:rPr>
          <w:rFonts w:ascii="Verdana" w:hAnsi="Verdana" w:cstheme="minorHAnsi"/>
          <w:b w:val="0"/>
          <w:sz w:val="18"/>
          <w:szCs w:val="18"/>
          <w:lang w:val="pl-PL"/>
        </w:rPr>
        <w:t>0</w:t>
      </w:r>
      <w:r w:rsidR="00A96C06" w:rsidRPr="00A96C06">
        <w:rPr>
          <w:rFonts w:ascii="Verdana" w:hAnsi="Verdana" w:cstheme="minorHAnsi"/>
          <w:b w:val="0"/>
          <w:sz w:val="18"/>
          <w:szCs w:val="18"/>
          <w:lang w:val="pl-PL"/>
        </w:rPr>
        <w:t>3138</w:t>
      </w:r>
      <w:r w:rsidRPr="00A96C06">
        <w:rPr>
          <w:rFonts w:ascii="Verdana" w:hAnsi="Verdana" w:cstheme="minorHAnsi"/>
          <w:b w:val="0"/>
          <w:sz w:val="18"/>
          <w:szCs w:val="18"/>
          <w:lang w:val="pl-PL"/>
        </w:rPr>
        <w:t>/202</w:t>
      </w:r>
      <w:r w:rsidR="00E0471B" w:rsidRPr="00A96C06">
        <w:rPr>
          <w:rFonts w:ascii="Verdana" w:hAnsi="Verdana" w:cstheme="minorHAnsi"/>
          <w:b w:val="0"/>
          <w:sz w:val="18"/>
          <w:szCs w:val="18"/>
          <w:lang w:val="pl-PL"/>
        </w:rPr>
        <w:t>4</w:t>
      </w:r>
      <w:r w:rsidRPr="00A96C06">
        <w:rPr>
          <w:rFonts w:ascii="Verdana" w:hAnsi="Verdana" w:cstheme="minorHAnsi"/>
          <w:b w:val="0"/>
          <w:sz w:val="18"/>
          <w:szCs w:val="18"/>
          <w:lang w:val="pl-PL"/>
        </w:rPr>
        <w:t>, oświadczam, co następuje:</w:t>
      </w:r>
      <w:r w:rsidR="001633FE" w:rsidRPr="00A96C06">
        <w:rPr>
          <w:rFonts w:ascii="Verdana" w:hAnsi="Verdana" w:cstheme="minorHAnsi"/>
          <w:b w:val="0"/>
          <w:sz w:val="18"/>
          <w:szCs w:val="18"/>
          <w:lang w:val="pl-PL"/>
        </w:rPr>
        <w:t xml:space="preserve"> </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w:t>
      </w:r>
      <w:bookmarkStart w:id="0" w:name="_GoBack"/>
      <w:bookmarkEnd w:id="0"/>
      <w:r w:rsidRPr="00563A70">
        <w:rPr>
          <w:rFonts w:asciiTheme="minorHAnsi" w:hAnsiTheme="minorHAnsi" w:cstheme="minorHAnsi"/>
        </w:rPr>
        <w:t>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(podać pełną nazwę/ firmę, adres, a także w zależności od podmiotu: NIP/ PESEL, KRS/ CEiDG</w:t>
      </w:r>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KRS/CEiDG)</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48431" w14:textId="77777777" w:rsidR="00100468" w:rsidRDefault="00100468" w:rsidP="005D45F2">
      <w:pPr>
        <w:spacing w:line="240" w:lineRule="auto"/>
      </w:pPr>
      <w:r>
        <w:separator/>
      </w:r>
    </w:p>
  </w:endnote>
  <w:endnote w:type="continuationSeparator" w:id="0">
    <w:p w14:paraId="6868E8ED" w14:textId="77777777" w:rsidR="00100468" w:rsidRDefault="00100468" w:rsidP="005D45F2">
      <w:pPr>
        <w:spacing w:line="240" w:lineRule="auto"/>
      </w:pPr>
      <w:r>
        <w:continuationSeparator/>
      </w:r>
    </w:p>
  </w:endnote>
  <w:endnote w:type="continuationNotice" w:id="1">
    <w:p w14:paraId="34865CB0" w14:textId="77777777" w:rsidR="00100468" w:rsidRDefault="001004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18FE0197"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96C06">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96C06">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052F3" w14:textId="77777777" w:rsidR="00100468" w:rsidRDefault="00100468" w:rsidP="005D45F2">
      <w:pPr>
        <w:spacing w:line="240" w:lineRule="auto"/>
      </w:pPr>
      <w:r>
        <w:separator/>
      </w:r>
    </w:p>
  </w:footnote>
  <w:footnote w:type="continuationSeparator" w:id="0">
    <w:p w14:paraId="7B0907DA" w14:textId="77777777" w:rsidR="00100468" w:rsidRDefault="00100468" w:rsidP="005D45F2">
      <w:pPr>
        <w:spacing w:line="240" w:lineRule="auto"/>
      </w:pPr>
      <w:r>
        <w:continuationSeparator/>
      </w:r>
    </w:p>
  </w:footnote>
  <w:footnote w:type="continuationNotice" w:id="1">
    <w:p w14:paraId="3BB92272" w14:textId="77777777" w:rsidR="00100468" w:rsidRDefault="00100468">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91D7996"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b/>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15224E" w:rsidRPr="0015224E">
          <w:rPr>
            <w:rFonts w:ascii="Calibri" w:hAnsi="Calibri" w:cs="Calibri"/>
            <w:b/>
            <w:sz w:val="18"/>
            <w:szCs w:val="18"/>
          </w:rPr>
          <w:t>POST/DYS/OB/LZA</w:t>
        </w:r>
        <w:r w:rsidR="00B149E6">
          <w:rPr>
            <w:rFonts w:ascii="Calibri" w:hAnsi="Calibri" w:cs="Calibri"/>
            <w:b/>
            <w:sz w:val="18"/>
            <w:szCs w:val="18"/>
          </w:rPr>
          <w:t>/0</w:t>
        </w:r>
        <w:r w:rsidR="00A96C06">
          <w:rPr>
            <w:rFonts w:ascii="Calibri" w:hAnsi="Calibri" w:cs="Calibri"/>
            <w:b/>
            <w:sz w:val="18"/>
            <w:szCs w:val="18"/>
          </w:rPr>
          <w:t>3138</w:t>
        </w:r>
        <w:r w:rsidR="0015224E" w:rsidRPr="0015224E">
          <w:rPr>
            <w:rFonts w:ascii="Calibri" w:hAnsi="Calibri" w:cs="Calibri"/>
            <w:b/>
            <w:sz w:val="18"/>
            <w:szCs w:val="18"/>
          </w:rPr>
          <w:t>/202</w:t>
        </w:r>
        <w:r w:rsidR="00E0471B">
          <w:rPr>
            <w:rFonts w:ascii="Calibri" w:hAnsi="Calibri" w:cs="Calibri"/>
            <w:b/>
            <w:sz w:val="18"/>
            <w:szCs w:val="18"/>
          </w:rPr>
          <w:t>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468"/>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24E"/>
    <w:rsid w:val="00152C87"/>
    <w:rsid w:val="001551EC"/>
    <w:rsid w:val="00156501"/>
    <w:rsid w:val="00156681"/>
    <w:rsid w:val="00156D27"/>
    <w:rsid w:val="00157FDB"/>
    <w:rsid w:val="0016006A"/>
    <w:rsid w:val="001633FE"/>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62C0"/>
    <w:rsid w:val="001E2686"/>
    <w:rsid w:val="001E2A20"/>
    <w:rsid w:val="001E2D0B"/>
    <w:rsid w:val="001E34A1"/>
    <w:rsid w:val="001E393D"/>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8EA"/>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2FA2"/>
    <w:rsid w:val="00354302"/>
    <w:rsid w:val="00354709"/>
    <w:rsid w:val="0035470E"/>
    <w:rsid w:val="00354D5E"/>
    <w:rsid w:val="003557D0"/>
    <w:rsid w:val="00356D7C"/>
    <w:rsid w:val="00356DC0"/>
    <w:rsid w:val="00357223"/>
    <w:rsid w:val="00357CE7"/>
    <w:rsid w:val="003615FC"/>
    <w:rsid w:val="003624A4"/>
    <w:rsid w:val="00362805"/>
    <w:rsid w:val="00362916"/>
    <w:rsid w:val="00363686"/>
    <w:rsid w:val="003649E1"/>
    <w:rsid w:val="00365994"/>
    <w:rsid w:val="00365C42"/>
    <w:rsid w:val="00365F9B"/>
    <w:rsid w:val="003661A4"/>
    <w:rsid w:val="00366933"/>
    <w:rsid w:val="003676EE"/>
    <w:rsid w:val="0036778F"/>
    <w:rsid w:val="003678B8"/>
    <w:rsid w:val="00371020"/>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D1C"/>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96F"/>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17D6"/>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6D8"/>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43A"/>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2B7"/>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615E"/>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3202"/>
    <w:rsid w:val="0070406E"/>
    <w:rsid w:val="00704782"/>
    <w:rsid w:val="007055F8"/>
    <w:rsid w:val="0070605E"/>
    <w:rsid w:val="00706490"/>
    <w:rsid w:val="007064A3"/>
    <w:rsid w:val="00706F1D"/>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355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487C"/>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3549"/>
    <w:rsid w:val="007843DC"/>
    <w:rsid w:val="00784FDD"/>
    <w:rsid w:val="007853E3"/>
    <w:rsid w:val="00785F65"/>
    <w:rsid w:val="0078612C"/>
    <w:rsid w:val="007878A4"/>
    <w:rsid w:val="007907B1"/>
    <w:rsid w:val="00791057"/>
    <w:rsid w:val="007929B8"/>
    <w:rsid w:val="00792A94"/>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17F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207"/>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394D"/>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02DF"/>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96C06"/>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C7FC8"/>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76"/>
    <w:rsid w:val="00B05AC3"/>
    <w:rsid w:val="00B05D2F"/>
    <w:rsid w:val="00B06637"/>
    <w:rsid w:val="00B076FD"/>
    <w:rsid w:val="00B101C6"/>
    <w:rsid w:val="00B110BE"/>
    <w:rsid w:val="00B134FE"/>
    <w:rsid w:val="00B1379F"/>
    <w:rsid w:val="00B149BC"/>
    <w:rsid w:val="00B149E6"/>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0A7"/>
    <w:rsid w:val="00B60A82"/>
    <w:rsid w:val="00B613BB"/>
    <w:rsid w:val="00B6212B"/>
    <w:rsid w:val="00B6394D"/>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6B43"/>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2A3"/>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54E"/>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266D"/>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471B"/>
    <w:rsid w:val="00E0758C"/>
    <w:rsid w:val="00E10E88"/>
    <w:rsid w:val="00E11827"/>
    <w:rsid w:val="00E125F8"/>
    <w:rsid w:val="00E12F81"/>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1599F"/>
    <w:rsid w:val="00F2002A"/>
    <w:rsid w:val="00F2228D"/>
    <w:rsid w:val="00F225B7"/>
    <w:rsid w:val="00F22FB0"/>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00454666">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68137081">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21022416">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43545126">
      <w:bodyDiv w:val="1"/>
      <w:marLeft w:val="0"/>
      <w:marRight w:val="0"/>
      <w:marTop w:val="0"/>
      <w:marBottom w:val="0"/>
      <w:divBdr>
        <w:top w:val="none" w:sz="0" w:space="0" w:color="auto"/>
        <w:left w:val="none" w:sz="0" w:space="0" w:color="auto"/>
        <w:bottom w:val="none" w:sz="0" w:space="0" w:color="auto"/>
        <w:right w:val="none" w:sz="0" w:space="0" w:color="auto"/>
      </w:divBdr>
    </w:div>
    <w:div w:id="200890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 w:val="004F21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3138_Załącznik nr 4 do SWZ.docx</dmsv2BaseFileName>
    <dmsv2BaseDisplayName xmlns="http://schemas.microsoft.com/sharepoint/v3">3138_Załącznik nr 4 do SWZ</dmsv2BaseDisplayName>
    <dmsv2SWPP2ObjectNumber xmlns="http://schemas.microsoft.com/sharepoint/v3">POST/DYS/OB/LZA/03138/2024                        </dmsv2SWPP2ObjectNumber>
    <dmsv2SWPP2SumMD5 xmlns="http://schemas.microsoft.com/sharepoint/v3">a4dfe8189072f0434884b7ee76cadb6d</dmsv2SWPP2SumMD5>
    <dmsv2BaseMoved xmlns="http://schemas.microsoft.com/sharepoint/v3">false</dmsv2BaseMoved>
    <dmsv2BaseIsSensitive xmlns="http://schemas.microsoft.com/sharepoint/v3">true</dmsv2BaseIsSensitive>
    <dmsv2SWPP2IDSWPP2 xmlns="http://schemas.microsoft.com/sharepoint/v3">660626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20988795</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AEASQFSYQUA4-921679528-9157</_dlc_DocId>
    <_dlc_DocIdUrl xmlns="a19cb1c7-c5c7-46d4-85ae-d83685407bba">
      <Url>https://swpp2.dms.gkpge.pl/sites/32/_layouts/15/DocIdRedir.aspx?ID=AEASQFSYQUA4-921679528-9157</Url>
      <Description>AEASQFSYQUA4-921679528-9157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49C9520-3EEE-43B0-9C32-0EBA009C8322}"/>
</file>

<file path=customXml/itemProps5.xml><?xml version="1.0" encoding="utf-8"?>
<ds:datastoreItem xmlns:ds="http://schemas.openxmlformats.org/officeDocument/2006/customXml" ds:itemID="{34D5914F-1FA7-4DE8-AF81-C578AB2F874F}">
  <ds:schemaRefs>
    <ds:schemaRef ds:uri="http://schemas.openxmlformats.org/officeDocument/2006/bibliography"/>
  </ds:schemaRefs>
</ds:datastoreItem>
</file>

<file path=customXml/itemProps6.xml><?xml version="1.0" encoding="utf-8"?>
<ds:datastoreItem xmlns:ds="http://schemas.openxmlformats.org/officeDocument/2006/customXml" ds:itemID="{209A48E4-E75E-4C65-A132-56FEFCE7B309}"/>
</file>

<file path=docProps/app.xml><?xml version="1.0" encoding="utf-8"?>
<Properties xmlns="http://schemas.openxmlformats.org/officeDocument/2006/extended-properties" xmlns:vt="http://schemas.openxmlformats.org/officeDocument/2006/docPropsVTypes">
  <Template>Normal</Template>
  <TotalTime>0</TotalTime>
  <Pages>3</Pages>
  <Words>797</Words>
  <Characters>4782</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POST/DYS/OB/LZA/03138/2024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2024-10-30T09:23:00Z</dcterms:created>
  <dcterms:modified xsi:type="dcterms:W3CDTF">2024-10-30T09:23:00Z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cbade4b1-4fc0-4465-bfa1-35cfc17ed1e0</vt:lpwstr>
  </property>
</Properties>
</file>