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1FA75D09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BB2A7F">
        <w:rPr>
          <w:rFonts w:ascii="CIDFont+F1" w:hAnsi="CIDFont+F1" w:cs="CIDFont+F1"/>
          <w:sz w:val="14"/>
          <w:szCs w:val="14"/>
        </w:rPr>
        <w:t>Białystok</w:t>
      </w:r>
      <w:r>
        <w:rPr>
          <w:rFonts w:ascii="CIDFont+F1" w:hAnsi="CIDFont+F1" w:cs="CIDFont+F1"/>
          <w:sz w:val="14"/>
          <w:szCs w:val="14"/>
        </w:rPr>
        <w:t xml:space="preserve"> Rejon </w:t>
      </w:r>
      <w:r w:rsidR="00BB2A7F">
        <w:rPr>
          <w:rFonts w:ascii="CIDFont+F1" w:hAnsi="CIDFont+F1" w:cs="CIDFont+F1"/>
          <w:sz w:val="14"/>
          <w:szCs w:val="14"/>
        </w:rPr>
        <w:t>E</w:t>
      </w:r>
      <w:r>
        <w:rPr>
          <w:rFonts w:ascii="CIDFont+F1" w:hAnsi="CIDFont+F1" w:cs="CIDFont+F1"/>
          <w:sz w:val="14"/>
          <w:szCs w:val="14"/>
        </w:rPr>
        <w:t xml:space="preserve">nergetyczny </w:t>
      </w:r>
      <w:r w:rsidR="00BB2A7F">
        <w:rPr>
          <w:rFonts w:ascii="CIDFont+F1" w:hAnsi="CIDFont+F1" w:cs="CIDFont+F1"/>
          <w:sz w:val="14"/>
          <w:szCs w:val="14"/>
        </w:rPr>
        <w:t xml:space="preserve">Łomża 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  <w:bookmarkStart w:id="0" w:name="_GoBack"/>
      <w:bookmarkEnd w:id="0"/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00F2C" w14:textId="77777777" w:rsidR="00DD090F" w:rsidRDefault="00DD090F" w:rsidP="001C34EF">
      <w:r>
        <w:separator/>
      </w:r>
    </w:p>
  </w:endnote>
  <w:endnote w:type="continuationSeparator" w:id="0">
    <w:p w14:paraId="7746C3BF" w14:textId="77777777" w:rsidR="00DD090F" w:rsidRDefault="00DD090F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5AED90C3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BB2A7F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BB2A7F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59F14" w14:textId="77777777" w:rsidR="00DD090F" w:rsidRDefault="00DD090F" w:rsidP="001C34EF">
      <w:r>
        <w:separator/>
      </w:r>
    </w:p>
  </w:footnote>
  <w:footnote w:type="continuationSeparator" w:id="0">
    <w:p w14:paraId="78E41457" w14:textId="77777777" w:rsidR="00DD090F" w:rsidRDefault="00DD090F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77777777" w:rsidR="00CA490B" w:rsidRPr="00FE0148" w:rsidRDefault="00FE0148" w:rsidP="00FE0148">
    <w:pPr>
      <w:pStyle w:val="ImiNazwisko"/>
      <w:spacing w:before="0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7777777" w:rsidR="0014435C" w:rsidRDefault="00CA6586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2A7F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D090F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POST/DYS/OB/GZA/01660/2025                        </dmsv2SWPP2ObjectNumber>
    <dmsv2SWPP2SumMD5 xmlns="http://schemas.microsoft.com/sharepoint/v3">e5a41161b06387ad76422bc0a2b953dc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22370305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M37YNRNYPV7A-523317178-3165</_dlc_DocId>
    <_dlc_DocIdUrl xmlns="a19cb1c7-c5c7-46d4-85ae-d83685407bba">
      <Url>https://swpp2.dms.gkpge.pl/sites/37/_layouts/15/DocIdRedir.aspx?ID=M37YNRNYPV7A-523317178-3165</Url>
      <Description>M37YNRNYPV7A-523317178-3165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3.xml><?xml version="1.0" encoding="utf-8"?>
<ds:datastoreItem xmlns:ds="http://schemas.openxmlformats.org/officeDocument/2006/customXml" ds:itemID="{15768F67-3078-4729-A1B6-0DF872A500DC}"/>
</file>

<file path=customXml/itemProps4.xml><?xml version="1.0" encoding="utf-8"?>
<ds:datastoreItem xmlns:ds="http://schemas.openxmlformats.org/officeDocument/2006/customXml" ds:itemID="{C8B5209F-CFF4-4E47-B225-0CA2B11D1A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5DF60F-9AB3-49A8-9420-4AAF67AC9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Sawicki Daniel [PGE Dystr. O.Białystok]</cp:lastModifiedBy>
  <cp:revision>5</cp:revision>
  <cp:lastPrinted>2022-10-22T15:10:00Z</cp:lastPrinted>
  <dcterms:created xsi:type="dcterms:W3CDTF">2022-11-17T20:37:00Z</dcterms:created>
  <dcterms:modified xsi:type="dcterms:W3CDTF">2022-12-19T10:50:00Z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2a4d1cef-33dc-405d-8820-c7806301486c</vt:lpwstr>
  </property>
</Properties>
</file>