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2">
      <w:pPr>
        <w:spacing w:after="120" w:before="80" w:line="276" w:lineRule="auto"/>
        <w:ind w:right="-3"/>
        <w:jc w:val="right"/>
        <w:rPr>
          <w:rFonts w:ascii="Arial" w:cs="Arial" w:eastAsia="Arial" w:hAnsi="Arial"/>
          <w:b w:val="1"/>
          <w:bCs w:val="1"/>
          <w:color w:val="0000ff"/>
          <w:sz w:val="22"/>
          <w:szCs w:val="22"/>
        </w:rPr>
      </w:pPr>
      <w:r w:rsidDel="00000000" w:rsidR="00000000" w:rsidRPr="00000000">
        <w:rPr>
          <w:rFonts w:ascii="Arial" w:cs="Arial" w:eastAsia="Arial" w:hAnsi="Arial"/>
          <w:b w:val="1"/>
          <w:bCs w:val="1"/>
          <w:color w:val="0000ff"/>
          <w:sz w:val="22"/>
          <w:szCs w:val="22"/>
          <w:rtl w:val="0"/>
        </w:rPr>
        <w:t xml:space="preserve">Załącznik nr  do 7 Umowy</w:t>
        <w:br w:type="textWrapping"/>
      </w:r>
      <w:r w:rsidDel="00000000" w:rsidR="00000000" w:rsidRPr="00000000">
        <w:rPr>
          <w:rFonts w:ascii="Arial" w:cs="Arial" w:eastAsia="Arial" w:hAnsi="Arial"/>
          <w:b w:val="1"/>
          <w:bCs w:val="1"/>
          <w:color w:val="0000ff"/>
          <w:sz w:val="22"/>
          <w:szCs w:val="22"/>
          <w:rtl w:val="0"/>
        </w:rPr>
        <w:t xml:space="preserve">WHAL-VLD-80NDx00-FCC-SPC-0001</w:t>
      </w:r>
      <w:r w:rsidDel="00000000" w:rsidR="00000000" w:rsidRPr="00000000">
        <w:rPr>
          <w:rtl w:val="0"/>
        </w:rPr>
      </w:r>
    </w:p>
    <w:p w:rsidR="00000000" w:rsidDel="00000000" w:rsidP="00000000" w:rsidRDefault="00000000" w:rsidRPr="00000000" w14:paraId="00000003">
      <w:pPr>
        <w:numPr>
          <w:ilvl w:val="0"/>
          <w:numId w:val="1"/>
        </w:numPr>
        <w:spacing w:after="120" w:before="200"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Wykonawca</w:t>
      </w:r>
      <w:r w:rsidDel="00000000" w:rsidR="00000000" w:rsidRPr="00000000">
        <w:rPr>
          <w:rFonts w:ascii="Arial" w:cs="Arial" w:eastAsia="Arial" w:hAnsi="Arial"/>
          <w:sz w:val="22"/>
          <w:szCs w:val="22"/>
          <w:rtl w:val="0"/>
        </w:rPr>
        <w:t xml:space="preserve"> zapewni ochronę ubezpieczeniową w ramach umowy ubezpieczenia odpowiedzialności cywilnej (OC), co najmniej przez okres związania niniejszą Umową (tj. od podpisania Umowy do dnia wypełnienia zobowiązań gwarancyjnych), w której rodzaj działalności objętej ochroną będzie zgodny z zakresem prac wykonywanych w ramach niniejszej Umowy. Zakres ochrony będzie obejmował odpowiedzialność cywilną ubezpieczonych z tytułu czynów niedozwolonych (odpowiedzialność deliktową) oraz odpowiedzialność cywilną za szkody wynikające z niewykonania lub nienależytego wykonania zobowiązania (odpowiedzialność kontraktową), jak również odpowiedzialność cywilną za szkody wyrządzone przez wyprodukowany / dostarczony produkt i wykonaną usługę. Ochroną objęte zostaną szkody rzeczowe i osobowe wyrządzone osobom trzecim oraz ich następstwa.</w:t>
      </w:r>
    </w:p>
    <w:p w:rsidR="00000000" w:rsidDel="00000000" w:rsidP="00000000" w:rsidRDefault="00000000" w:rsidRPr="00000000" w14:paraId="00000004">
      <w:pPr>
        <w:spacing w:after="120" w:before="200" w:line="276" w:lineRule="auto"/>
        <w:ind w:right="-3" w:firstLine="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Ubezpieczenie to będzie </w:t>
      </w:r>
      <w:r w:rsidDel="00000000" w:rsidR="00000000" w:rsidRPr="00000000">
        <w:rPr>
          <w:rFonts w:ascii="Arial" w:cs="Arial" w:eastAsia="Arial" w:hAnsi="Arial"/>
          <w:sz w:val="22"/>
          <w:szCs w:val="22"/>
          <w:rtl w:val="0"/>
        </w:rPr>
        <w:t xml:space="preserve">spełniało</w:t>
      </w:r>
      <w:r w:rsidDel="00000000" w:rsidR="00000000" w:rsidRPr="00000000">
        <w:rPr>
          <w:rFonts w:ascii="Arial" w:cs="Arial" w:eastAsia="Arial" w:hAnsi="Arial"/>
          <w:sz w:val="22"/>
          <w:szCs w:val="22"/>
          <w:rtl w:val="0"/>
        </w:rPr>
        <w:t xml:space="preserve"> łącznie następujące warunki:</w:t>
      </w:r>
    </w:p>
    <w:p w:rsidR="00000000" w:rsidDel="00000000" w:rsidP="00000000" w:rsidRDefault="00000000" w:rsidRPr="00000000" w14:paraId="00000005">
      <w:pPr>
        <w:numPr>
          <w:ilvl w:val="1"/>
          <w:numId w:val="1"/>
        </w:numPr>
        <w:spacing w:after="120"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Suma gwarancyjna powinna wynosić nie mniej niż 20.000.000 PLN.</w:t>
      </w:r>
    </w:p>
    <w:p w:rsidR="00000000" w:rsidDel="00000000" w:rsidP="00000000" w:rsidRDefault="00000000" w:rsidRPr="00000000" w14:paraId="00000006">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Czasowy zakres ochrony ubezpieczeniowej (tzw. trigger) - powstanie wypadku ubezpieczeniowego w okresie ubezpieczenia, przy czym przez wypadek rozumie się śmierć, uszkodzenie ciała, doznanie rozstroju zdrowia, zniszczenie, uszkodzenie rzeczy lub powstanie czystej straty finansowej (loss occurrence). </w:t>
      </w:r>
    </w:p>
    <w:p w:rsidR="00000000" w:rsidDel="00000000" w:rsidP="00000000" w:rsidRDefault="00000000" w:rsidRPr="00000000" w14:paraId="00000007">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wyrządzone w wyniku rażącego niedbalstwa.</w:t>
      </w:r>
    </w:p>
    <w:p w:rsidR="00000000" w:rsidDel="00000000" w:rsidP="00000000" w:rsidRDefault="00000000" w:rsidRPr="00000000" w14:paraId="00000008">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powstałe w mieniu przekazanym Wykonawcy w celu wykonania pracy lub usługi na tym mieniu lub za jego pomocą, a także przekazane Wykonawcy w celu przechowywania/ dozoru, które to przechowanie/ dozór ma charakter pomocniczy i jest niezbędne do wykonania na tym mieniu lub za jego pomocą </w:t>
      </w:r>
      <w:r w:rsidDel="00000000" w:rsidR="00000000" w:rsidRPr="00000000">
        <w:rPr>
          <w:rFonts w:ascii="Arial" w:cs="Arial" w:eastAsia="Arial" w:hAnsi="Arial"/>
          <w:sz w:val="22"/>
          <w:szCs w:val="22"/>
          <w:rtl w:val="0"/>
        </w:rPr>
        <w:t xml:space="preserve">pracy</w:t>
      </w:r>
      <w:r w:rsidDel="00000000" w:rsidR="00000000" w:rsidRPr="00000000">
        <w:rPr>
          <w:rFonts w:ascii="Arial" w:cs="Arial" w:eastAsia="Arial" w:hAnsi="Arial"/>
          <w:sz w:val="22"/>
          <w:szCs w:val="22"/>
          <w:rtl w:val="0"/>
        </w:rPr>
        <w:t xml:space="preserve"> lub usługi przez Wykonawcę. </w:t>
      </w:r>
    </w:p>
    <w:p w:rsidR="00000000" w:rsidDel="00000000" w:rsidP="00000000" w:rsidRDefault="00000000" w:rsidRPr="00000000" w14:paraId="00000009">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wyrządzone przez pojazdy mechaniczne niepodlegające obowiązkowi rejestracji, o ile będą wykorzystywane do wykonania prac w ramach Umowy. </w:t>
      </w:r>
    </w:p>
    <w:p w:rsidR="00000000" w:rsidDel="00000000" w:rsidP="00000000" w:rsidRDefault="00000000" w:rsidRPr="00000000" w14:paraId="0000000A">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Umowa ubezpieczenia </w:t>
      </w:r>
      <w:r w:rsidDel="00000000" w:rsidR="00000000" w:rsidRPr="00000000">
        <w:rPr>
          <w:rFonts w:ascii="Arial" w:cs="Arial" w:eastAsia="Arial" w:hAnsi="Arial"/>
          <w:sz w:val="22"/>
          <w:szCs w:val="22"/>
          <w:rtl w:val="0"/>
        </w:rPr>
        <w:t xml:space="preserve">obejmie</w:t>
      </w:r>
      <w:r w:rsidDel="00000000" w:rsidR="00000000" w:rsidRPr="00000000">
        <w:rPr>
          <w:rFonts w:ascii="Arial" w:cs="Arial" w:eastAsia="Arial" w:hAnsi="Arial"/>
          <w:sz w:val="22"/>
          <w:szCs w:val="22"/>
          <w:rtl w:val="0"/>
        </w:rPr>
        <w:t xml:space="preserve"> również szkody wyrządzone podczas prac ładunkowych, o ile w ramach Umowy będą wykonywane takie prace. </w:t>
      </w:r>
    </w:p>
    <w:p w:rsidR="00000000" w:rsidDel="00000000" w:rsidP="00000000" w:rsidRDefault="00000000" w:rsidRPr="00000000" w14:paraId="0000000B">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Ubezpieczona będzie odpowiedzialność cywilna pracodawcy z tytułu wypadków przy pracy. Dopuszczalny jest podlimit w wysokości nie niższej niż 10.000.000 PLN.</w:t>
      </w:r>
    </w:p>
    <w:p w:rsidR="00000000" w:rsidDel="00000000" w:rsidP="00000000" w:rsidRDefault="00000000" w:rsidRPr="00000000" w14:paraId="0000000C">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spowodowane wskutek prowadzenia prac rozbiórkowych, demontażowych, a także przez działanie młotów, kafarów, wibracji, osunięcie się lub zapadanie ziemi, o ile zgodnie z Umową będą prowadzone prace, które mogą doprowadzić do powstania takich szkód. </w:t>
      </w:r>
    </w:p>
    <w:p w:rsidR="00000000" w:rsidDel="00000000" w:rsidP="00000000" w:rsidRDefault="00000000" w:rsidRPr="00000000" w14:paraId="0000000D">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wynikające z uszkodzenia lub zniszczenia urządzeń i instalacji wodociągowych, kanalizacyjnych, centralnego ogrzewania, gazowych, elektrycznych, technologicznych, w tym w instalacjach podziemnych.</w:t>
      </w:r>
    </w:p>
    <w:p w:rsidR="00000000" w:rsidDel="00000000" w:rsidP="00000000" w:rsidRDefault="00000000" w:rsidRPr="00000000" w14:paraId="0000000E">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wynikające z nagłego i niespodziewanego zanieczyszczenia środowiska (szkody wynikłe z emisji do powietrza, wody, gruntu jakichkolwiek substancji niebezpiecznych). </w:t>
      </w:r>
    </w:p>
    <w:p w:rsidR="00000000" w:rsidDel="00000000" w:rsidP="00000000" w:rsidRDefault="00000000" w:rsidRPr="00000000" w14:paraId="0000000F">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Ubezpieczone będą szkody polegające na powstaniu czystej straty finansowej, tj. szkody nie będące następstwem szkód osobowych, ani szkód rzeczowych. Dopuszczalny jest podlimit w wysokości nie niższej niż 5.000.000 PLN. </w:t>
      </w:r>
    </w:p>
    <w:p w:rsidR="00000000" w:rsidDel="00000000" w:rsidP="00000000" w:rsidRDefault="00000000" w:rsidRPr="00000000" w14:paraId="00000010">
      <w:pPr>
        <w:spacing w:before="200" w:line="276" w:lineRule="auto"/>
        <w:ind w:left="1440" w:right="-3"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Zakresem ubezpieczenia będą objęte również szkody powstałe wskutek zamontowania, umocowania lub położenia wadliwego produktu polegające na poniesieniu kosztów usunięcia produktu wadliwego i zastąpienia go produktem </w:t>
      </w:r>
      <w:r w:rsidDel="00000000" w:rsidR="00000000" w:rsidRPr="00000000">
        <w:rPr>
          <w:rFonts w:ascii="Arial" w:cs="Arial" w:eastAsia="Arial" w:hAnsi="Arial"/>
          <w:sz w:val="22"/>
          <w:szCs w:val="22"/>
          <w:rtl w:val="0"/>
        </w:rPr>
        <w:t xml:space="preserve">niewadliwym</w:t>
      </w:r>
      <w:r w:rsidDel="00000000" w:rsidR="00000000" w:rsidRPr="00000000">
        <w:rPr>
          <w:rFonts w:ascii="Arial" w:cs="Arial" w:eastAsia="Arial" w:hAnsi="Arial"/>
          <w:sz w:val="22"/>
          <w:szCs w:val="22"/>
          <w:rtl w:val="0"/>
        </w:rPr>
        <w:t xml:space="preserve">. Dopuszczalny jest podlimit w wysokości nie niższej niż 2.500.000 PLN  .</w:t>
      </w:r>
    </w:p>
    <w:p w:rsidR="00000000" w:rsidDel="00000000" w:rsidP="00000000" w:rsidRDefault="00000000" w:rsidRPr="00000000" w14:paraId="00000011">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Zarówno suma gwarancyjna, jak i limity odpowiedzialności wyszczególnione w punkcie 1. określone są w formule na jeden i wszystkie wypadki w całym okresie ubezpieczenia.</w:t>
      </w:r>
    </w:p>
    <w:p w:rsidR="00000000" w:rsidDel="00000000" w:rsidP="00000000" w:rsidRDefault="00000000" w:rsidRPr="00000000" w14:paraId="00000012">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Franszyza redukcyjna nie może być większa niż 100.000 PLN dla szkód w mieniu, z wyjątkiem czystych strat finansowych, dla których ustalono franszyzę redukcyjną w kwocie, nie większej niż wynikającej z formuły: „10% odszkodowania, nie mniej niż 100.000 PLN”. Franszyzy integralne nie mogą mieć zastosowania. W odniesieniu do szkód osobowych franszyza redukcyjna nie będzie miała zastosowania.</w:t>
      </w:r>
    </w:p>
    <w:p w:rsidR="00000000" w:rsidDel="00000000" w:rsidP="00000000" w:rsidRDefault="00000000" w:rsidRPr="00000000" w14:paraId="00000013">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Zakres terytorialny powinien obejmować terytorium Polski.</w:t>
      </w:r>
    </w:p>
    <w:p w:rsidR="00000000" w:rsidDel="00000000" w:rsidP="00000000" w:rsidRDefault="00000000" w:rsidRPr="00000000" w14:paraId="00000014">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Jeżeli do realizacji prac zostaną zatrudnieni podwykonawcy, ochroną objęte zostaną szkody za które ponosi odpowiedzialność Wykonawca, a które zostały wyrządzone przez podwykonawców; dopuszcza się zastosowanie regresu w stosunku do podwykonawcy będącego sprawcą szkody. Niezależnie od zakresu ubezpieczenia określonego w zdaniu poprzednim, Wykonawca powinien zweryfikować polisy ubezpieczeniowe posiadane przez podwykonawców i zapewnić, aby ich zakres ubezpieczenia był dostosowany do skali i rodzaju prac realizowanych przez podwykonawcę w ramach niniejszej Umowy i był nie węższy niż wymogi określone dla Wykonawcy, chyba że część prac powierzona podwykonawcy nie pociąga za sobą ryzyko powstania szkody określonej wyżej wskazanymi klauzulami  rozszerzającymi. Alternatywnie dopuszcza się ubezpieczenie podwykonawców, jako podmioty dodatkowo ubezpieczone w ramach polisy Wykonawcy.</w:t>
      </w:r>
    </w:p>
    <w:p w:rsidR="00000000" w:rsidDel="00000000" w:rsidP="00000000" w:rsidRDefault="00000000" w:rsidRPr="00000000" w14:paraId="00000015">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Wyłączenia odpowiedzialności są dopuszczalne w zakresie zgodnym z aktualną dobrą praktyką rynkową na dzień zawierania umowy ubezpieczenia. </w:t>
      </w:r>
    </w:p>
    <w:p w:rsidR="00000000" w:rsidDel="00000000" w:rsidP="00000000" w:rsidRDefault="00000000" w:rsidRPr="00000000" w14:paraId="00000016">
      <w:pPr>
        <w:numPr>
          <w:ilvl w:val="1"/>
          <w:numId w:val="1"/>
        </w:numPr>
        <w:spacing w:after="120"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 odniesieniu do Wykonawców działających wspólnie (np. konsorcjum) wymóg dotyczący ubezpieczenia odpowiedzialności cywilnej powinien zostać spełniony w następujący sposób: W przypadku zawarcia jednostkowego ubezpieczenia przeznaczonego wyłącznie do ochrony roszczeń związanych z realizacją Umowy (tzw. polisa celowa), zawartego na cały okres realizacji Umowy, którym objęci byliby wszyscy Wykonawcy działający wspólnie jako ubezpieczeni – wymóg dotyczący sumy gwarancyjnej stosuje się do jednostkowej umowy ubezpieczenia. W innym przypadku suma ubezpieczenia dotyczy każdego poszczególnego podmiotu z osobna tzn. każdy z nich powinien posiadać ochronę w zakresie ubezpieczenia odpowiedzialności cywilnej z sumą gwarancyjną w wysokości nie niższej niż 20.000.000 PLN  na jeden i wszystkie wypadki, a jego zakres powinien spełniać, co najmniej warunki określone w pkt 1. </w:t>
      </w:r>
    </w:p>
    <w:p w:rsidR="00000000" w:rsidDel="00000000" w:rsidP="00000000" w:rsidRDefault="00000000" w:rsidRPr="00000000" w14:paraId="00000017">
      <w:pPr>
        <w:numPr>
          <w:ilvl w:val="0"/>
          <w:numId w:val="1"/>
        </w:numPr>
        <w:spacing w:after="120" w:before="200"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Postanowienia dodatkowe:</w:t>
      </w:r>
      <w:r w:rsidDel="00000000" w:rsidR="00000000" w:rsidRPr="00000000">
        <w:rPr>
          <w:rtl w:val="0"/>
        </w:rPr>
      </w:r>
    </w:p>
    <w:p w:rsidR="00000000" w:rsidDel="00000000" w:rsidP="00000000" w:rsidRDefault="00000000" w:rsidRPr="00000000" w14:paraId="00000018">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Wykonawca jest zobligowany dostarczyć kopię polisy lub innego dokumentu ubezpieczeniowego określającego warunki i zakres ubezpieczenia (potwierdzonego za zgodność z oryginałem), poświadczające zawarcie umowy ubezpieczenia, zgodnie z wymogami o których mowa powyżej.</w:t>
      </w:r>
    </w:p>
    <w:p w:rsidR="00000000" w:rsidDel="00000000" w:rsidP="00000000" w:rsidRDefault="00000000" w:rsidRPr="00000000" w14:paraId="00000019">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Wraz z kopią polisy lub innego dokumentu ubezpieczeniowego Wykonawca będzie zobowiązany dostarczyć Zamawiającemu potwierdzenie opłacenia składki lub raty składki z tytułu zawartej umowy ubezpieczenia. Jeżeli składka jest płatna w ratach Wykonawca zobligowany jest dostarczyć Zamawiającemu potwierdzenie opłacenia składki nie później niż w dniu płatności określonym w umowie ubezpieczenia.</w:t>
      </w:r>
    </w:p>
    <w:p w:rsidR="00000000" w:rsidDel="00000000" w:rsidP="00000000" w:rsidRDefault="00000000" w:rsidRPr="00000000" w14:paraId="0000001A">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Jeżeli w trakcie trwania niniejszej Umowy upłynie okres ubezpieczenia w przedłożonej przez Wykonawcę umowie ubezpieczenia, Wykonawca niezwłocznie i bez wezwania dostarczy Zamawiającemu dokument potwierdzający przedłużenie bieżącej lub zawarcie nowej umowy ubezpieczenia zgodnej z wymaganiami określonymi w niniejszym artykule, w terminie najpóźniej 3 dni przed końcem bieżącego okresu ubezpieczenia. Wykonawca ma przy tym obowiązek zapewnić ciągłość ochrony ubezpieczeniowej.</w:t>
      </w:r>
    </w:p>
    <w:p w:rsidR="00000000" w:rsidDel="00000000" w:rsidP="00000000" w:rsidRDefault="00000000" w:rsidRPr="00000000" w14:paraId="0000001B">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Jeżeli wymagana umowa ubezpieczenia nie zostanie zawarta lub dokumenty potwierdzające jej zawarcie (w tym dowody opłacenia składki) nie zostaną dostarczone, albo jeśli zakres ochrony będzie odbiegał na niekorzyść Zamawiającego od zakresu wskazanego w niniejszym artykule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rsidR="00000000" w:rsidDel="00000000" w:rsidP="00000000" w:rsidRDefault="00000000" w:rsidRPr="00000000" w14:paraId="0000001C">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Umowa ubezpieczenia wymieniona w niniejszym załączniku powinna zostać zawarta z ubezpieczycielem lub ubezpieczycielami z zastosowaniem minimalnych wymogów przedstawionych w Umowie. Zatwierdzenia Zamawiającego wymaga jakakolwiek zmiana warunków ochrony ubezpieczeniowej powodująca ich pogorszenie w porównaniu z treścią Umowy. </w:t>
      </w:r>
    </w:p>
    <w:p w:rsidR="00000000" w:rsidDel="00000000" w:rsidP="00000000" w:rsidRDefault="00000000" w:rsidRPr="00000000" w14:paraId="0000001D">
      <w:pPr>
        <w:numPr>
          <w:ilvl w:val="1"/>
          <w:numId w:val="1"/>
        </w:numPr>
        <w:spacing w:before="200" w:line="276" w:lineRule="auto"/>
        <w:ind w:left="1440" w:right="-3"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Obowiązek Wykonawcy do zawarcia i przedłużania ważności wymaganych umów ubezpieczenia nie może być w żadnym wypadku interpretowany jako ograniczenie odpowiedzialności wynikającej z Umowy.</w:t>
      </w:r>
    </w:p>
    <w:p w:rsidR="00000000" w:rsidDel="00000000" w:rsidP="00000000" w:rsidRDefault="00000000" w:rsidRPr="00000000" w14:paraId="0000001E">
      <w:pPr>
        <w:numPr>
          <w:ilvl w:val="1"/>
          <w:numId w:val="1"/>
        </w:numPr>
        <w:spacing w:after="120"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 przypadku zajścia wypadku ubezpieczeniowego wszyscy uczestnicy procesu realizacji Umowy – Wykonawca i Zamawiający </w:t>
      </w:r>
      <w:r w:rsidDel="00000000" w:rsidR="00000000" w:rsidRPr="00000000">
        <w:rPr>
          <w:rFonts w:ascii="Arial" w:cs="Arial" w:eastAsia="Arial" w:hAnsi="Arial"/>
          <w:sz w:val="22"/>
          <w:szCs w:val="22"/>
          <w:rtl w:val="0"/>
        </w:rPr>
        <w:t xml:space="preserve">udzielą</w:t>
      </w:r>
      <w:r w:rsidDel="00000000" w:rsidR="00000000" w:rsidRPr="00000000">
        <w:rPr>
          <w:rFonts w:ascii="Arial" w:cs="Arial" w:eastAsia="Arial" w:hAnsi="Arial"/>
          <w:sz w:val="22"/>
          <w:szCs w:val="22"/>
          <w:rtl w:val="0"/>
        </w:rPr>
        <w:t xml:space="preserve"> sobie rozsądnej pomocy i współpracują przy likwidacji szkody tak, aby proces likwidacji szkody przebiegał szybko i bez zakłóceń.</w:t>
      </w:r>
    </w:p>
    <w:p w:rsidR="00000000" w:rsidDel="00000000" w:rsidP="00000000" w:rsidRDefault="00000000" w:rsidRPr="00000000" w14:paraId="0000001F">
      <w:pPr>
        <w:numPr>
          <w:ilvl w:val="0"/>
          <w:numId w:val="1"/>
        </w:numPr>
        <w:spacing w:after="120" w:before="200"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Ubezpieczenie Zamawiającego</w:t>
      </w:r>
    </w:p>
    <w:p w:rsidR="00000000" w:rsidDel="00000000" w:rsidP="00000000" w:rsidRDefault="00000000" w:rsidRPr="00000000" w14:paraId="00000020">
      <w:pPr>
        <w:spacing w:after="120" w:before="200" w:line="276" w:lineRule="auto"/>
        <w:ind w:left="72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Zamawiający</w:t>
      </w:r>
      <w:r w:rsidDel="00000000" w:rsidR="00000000" w:rsidRPr="00000000">
        <w:rPr>
          <w:rFonts w:ascii="Arial" w:cs="Arial" w:eastAsia="Arial" w:hAnsi="Arial"/>
          <w:sz w:val="22"/>
          <w:szCs w:val="22"/>
          <w:rtl w:val="0"/>
        </w:rPr>
        <w:t xml:space="preserve"> na własny koszt, w okresie realizacji Umowy ubezpieczy i zapewni ciągłość ubezpieczeń wymienionych poniżej (lub zapewni taki stan), na określone kwoty, przy podanych warunkach ubezpieczenia:</w:t>
      </w:r>
    </w:p>
    <w:p w:rsidR="00000000" w:rsidDel="00000000" w:rsidP="00000000" w:rsidRDefault="00000000" w:rsidRPr="00000000" w14:paraId="00000021">
      <w:pPr>
        <w:numPr>
          <w:ilvl w:val="1"/>
          <w:numId w:val="1"/>
        </w:numPr>
        <w:spacing w:after="120"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Ubezpieczenia wszelkich ryzyk budowy i montażu (CEAR).</w:t>
      </w:r>
    </w:p>
    <w:p w:rsidR="00000000" w:rsidDel="00000000" w:rsidP="00000000" w:rsidRDefault="00000000" w:rsidRPr="00000000" w14:paraId="00000022">
      <w:pPr>
        <w:numPr>
          <w:ilvl w:val="0"/>
          <w:numId w:val="1"/>
        </w:numPr>
        <w:spacing w:after="120" w:before="200"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Ubezpieczenia wszelkich ryzyk budowy i montażu (CEAR).</w:t>
      </w:r>
    </w:p>
    <w:p w:rsidR="00000000" w:rsidDel="00000000" w:rsidP="00000000" w:rsidRDefault="00000000" w:rsidRPr="00000000" w14:paraId="00000023">
      <w:pPr>
        <w:spacing w:after="120" w:before="20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Zamawiający zobowiązany jest zawrzeć i utrzymać w mocy ubezpieczenie wszelkich ryzyk budowy i montażu (CEAR) spełniające łącznie następujące warunki:</w:t>
      </w:r>
    </w:p>
    <w:p w:rsidR="00000000" w:rsidDel="00000000" w:rsidP="00000000" w:rsidRDefault="00000000" w:rsidRPr="00000000" w14:paraId="00000024">
      <w:pPr>
        <w:numPr>
          <w:ilvl w:val="1"/>
          <w:numId w:val="1"/>
        </w:numPr>
        <w:spacing w:after="120"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Suma ubezpieczenia w posiadanej przez Zamawiającego polisie (umowie) ubezpieczenia odpowiadać będzie pełnej wartości Wynagrodzenia netto za wykonanie Przedmiotu Umowy.</w:t>
      </w:r>
    </w:p>
    <w:p w:rsidR="00000000" w:rsidDel="00000000" w:rsidP="00000000" w:rsidRDefault="00000000" w:rsidRPr="00000000" w14:paraId="00000025">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Ubezpieczonymi będą: Zamawiający, Wykonawca i jego Podwykonawcy oraz wszystkie inne podmioty zaangażowane formalnie przy realizacji Przedmiotu Umowy, o ile wartość prac wykonywanych przez nich została ujęta w wartości ubezpieczonej inwestycji.</w:t>
      </w:r>
    </w:p>
    <w:p w:rsidR="00000000" w:rsidDel="00000000" w:rsidP="00000000" w:rsidRDefault="00000000" w:rsidRPr="00000000" w14:paraId="00000026">
      <w:pPr>
        <w:numPr>
          <w:ilvl w:val="1"/>
          <w:numId w:val="1"/>
        </w:numPr>
        <w:spacing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Zakres ubezpieczenia będzie zgodny z aktualnym standardem rynkowym, uwzględniający charakter i rozmiar ryzyka związanego z realizacją Umowy, ze zwyczajowo </w:t>
      </w:r>
      <w:r w:rsidDel="00000000" w:rsidR="00000000" w:rsidRPr="00000000">
        <w:rPr>
          <w:rFonts w:ascii="Arial" w:cs="Arial" w:eastAsia="Arial" w:hAnsi="Arial"/>
          <w:sz w:val="22"/>
          <w:szCs w:val="22"/>
          <w:rtl w:val="0"/>
        </w:rPr>
        <w:t xml:space="preserve">stosowanymi</w:t>
      </w:r>
      <w:r w:rsidDel="00000000" w:rsidR="00000000" w:rsidRPr="00000000">
        <w:rPr>
          <w:rFonts w:ascii="Arial" w:cs="Arial" w:eastAsia="Arial" w:hAnsi="Arial"/>
          <w:sz w:val="22"/>
          <w:szCs w:val="22"/>
          <w:rtl w:val="0"/>
        </w:rPr>
        <w:t xml:space="preserve"> klauzulami rozszerzającymi zakres, z zastrzeżeniem zwyczajowych wyłączeń i limitów odpowiedzialności właściwych dla tego typu umów ubezpieczenia.</w:t>
      </w:r>
    </w:p>
    <w:p w:rsidR="00000000" w:rsidDel="00000000" w:rsidP="00000000" w:rsidRDefault="00000000" w:rsidRPr="00000000" w14:paraId="00000027">
      <w:pPr>
        <w:numPr>
          <w:ilvl w:val="1"/>
          <w:numId w:val="1"/>
        </w:numPr>
        <w:spacing w:after="120" w:before="200" w:line="276"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Okres obowiązywania ubezpieczenia będzie rozpoczynał się nie później niż przekazanie Wykonawcy Terenu Budowy i ubezpieczenie będzie utrzymane w mocy do dnia odbioru końcowego i przekazania do eksploatacji przedmiotu zamówienia, z zastrzeżeniem klauzul gwarancyjnych i konserwacyjnych.</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right="0"/>
        <w:jc w:val="both"/>
        <w:rPr>
          <w:rFonts w:ascii="Arial" w:cs="Arial" w:eastAsia="Arial" w:hAnsi="Arial"/>
          <w:sz w:val="22"/>
          <w:szCs w:val="22"/>
        </w:rPr>
      </w:pPr>
      <w:r w:rsidDel="00000000" w:rsidR="00000000" w:rsidRPr="00000000">
        <w:rPr>
          <w:rtl w:val="0"/>
        </w:rPr>
      </w:r>
    </w:p>
    <w:sectPr>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2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2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570" w:hanging="570"/>
      </w:pPr>
      <w:rPr>
        <w:b w:val="1"/>
        <w:bCs w:val="1"/>
        <w:vertAlign w:val="baseline"/>
      </w:rPr>
    </w:lvl>
    <w:lvl w:ilvl="1">
      <w:start w:val="1"/>
      <w:numFmt w:val="decimal"/>
      <w:lvlText w:val="%1.%2."/>
      <w:lvlJc w:val="right"/>
      <w:pPr>
        <w:ind w:left="720" w:hanging="720"/>
      </w:pPr>
      <w:rPr>
        <w:b w:val="0"/>
        <w:bCs w:val="0"/>
        <w:i w:val="0"/>
        <w:iCs w:val="0"/>
        <w:strike w:val="0"/>
        <w:color w:val="000000"/>
        <w:vertAlign w:val="baseline"/>
      </w:rPr>
    </w:lvl>
    <w:lvl w:ilvl="2">
      <w:start w:val="1"/>
      <w:numFmt w:val="decimal"/>
      <w:lvlText w:val="%1.%2.%3."/>
      <w:lvlJc w:val="right"/>
      <w:pPr>
        <w:ind w:left="1276" w:hanging="567.0000000000001"/>
      </w:pPr>
      <w:rPr>
        <w:b w:val="0"/>
        <w:bCs w:val="0"/>
        <w:i w:val="0"/>
        <w:iCs w:val="0"/>
        <w:color w:val="000000"/>
        <w:vertAlign w:val="baseline"/>
      </w:rPr>
    </w:lvl>
    <w:lvl w:ilvl="3">
      <w:start w:val="1"/>
      <w:numFmt w:val="decimal"/>
      <w:lvlText w:val="%1.%2.%3.%4."/>
      <w:lvlJc w:val="right"/>
      <w:pPr>
        <w:ind w:left="720" w:hanging="720"/>
      </w:pPr>
      <w:rPr>
        <w:b w:val="0"/>
        <w:bCs w:val="0"/>
        <w:i w:val="0"/>
        <w:iCs w:val="0"/>
        <w:strike w:val="0"/>
        <w:color w:val="000000"/>
        <w:vertAlign w:val="baseline"/>
      </w:rPr>
    </w:lvl>
    <w:lvl w:ilvl="4">
      <w:start w:val="1"/>
      <w:numFmt w:val="decimal"/>
      <w:lvlText w:val="%1.%2.%3.%4.%5."/>
      <w:lvlJc w:val="right"/>
      <w:pPr>
        <w:ind w:left="1080" w:hanging="1080"/>
      </w:pPr>
      <w:rPr>
        <w:b w:val="0"/>
        <w:bCs w:val="0"/>
        <w:vertAlign w:val="baseline"/>
      </w:rPr>
    </w:lvl>
    <w:lvl w:ilvl="5">
      <w:start w:val="1"/>
      <w:numFmt w:val="decimal"/>
      <w:lvlText w:val="%1.%2.%3.%4.%5.%6."/>
      <w:lvlJc w:val="right"/>
      <w:pPr>
        <w:ind w:left="1080" w:hanging="1080"/>
      </w:pPr>
      <w:rPr>
        <w:b w:val="1"/>
        <w:bCs w:val="1"/>
        <w:vertAlign w:val="baseline"/>
      </w:rPr>
    </w:lvl>
    <w:lvl w:ilvl="6">
      <w:start w:val="1"/>
      <w:numFmt w:val="decimal"/>
      <w:lvlText w:val="%1.%2.%3.%4.%5.%6.%7."/>
      <w:lvlJc w:val="right"/>
      <w:pPr>
        <w:ind w:left="1440" w:hanging="1440"/>
      </w:pPr>
      <w:rPr>
        <w:b w:val="1"/>
        <w:bCs w:val="1"/>
        <w:vertAlign w:val="baseline"/>
      </w:rPr>
    </w:lvl>
    <w:lvl w:ilvl="7">
      <w:start w:val="1"/>
      <w:numFmt w:val="decimal"/>
      <w:lvlText w:val="%1.%2.%3.%4.%5.%6.%7.%8."/>
      <w:lvlJc w:val="right"/>
      <w:pPr>
        <w:ind w:left="1440" w:hanging="1440"/>
      </w:pPr>
      <w:rPr>
        <w:b w:val="1"/>
        <w:bCs w:val="1"/>
        <w:vertAlign w:val="baseline"/>
      </w:rPr>
    </w:lvl>
    <w:lvl w:ilvl="8">
      <w:start w:val="1"/>
      <w:numFmt w:val="decimal"/>
      <w:lvlText w:val="%1.%2.%3.%4.%5.%6.%7.%8.%9."/>
      <w:lvlJc w:val="right"/>
      <w:pPr>
        <w:ind w:left="1800" w:hanging="1800"/>
      </w:pPr>
      <w:rPr>
        <w:b w:val="1"/>
        <w:bCs w:val="1"/>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ny">
    <w:name w:val="Normalny"/>
    <w:next w:val="Normalny"/>
    <w:autoRedefine w:val="0"/>
    <w:hidden w:val="0"/>
    <w:qFormat w:val="0"/>
    <w:pPr>
      <w:suppressAutoHyphens w:val="1"/>
      <w:spacing w:after="120" w:line="1" w:lineRule="atLeast"/>
      <w:ind w:leftChars="-1" w:rightChars="0" w:firstLineChars="-1"/>
      <w:jc w:val="both"/>
      <w:textDirection w:val="btLr"/>
      <w:textAlignment w:val="top"/>
      <w:outlineLvl w:val="0"/>
    </w:pPr>
    <w:rPr>
      <w:rFonts w:ascii="Arial" w:hAnsi="Arial"/>
      <w:w w:val="100"/>
      <w:position w:val="-1"/>
      <w:sz w:val="22"/>
      <w:szCs w:val="24"/>
      <w:effect w:val="none"/>
      <w:vertAlign w:val="baseline"/>
      <w:cs w:val="0"/>
      <w:em w:val="none"/>
      <w:lang w:bidi="ar-SA" w:eastAsia="pl-PL" w:val="pl-PL"/>
    </w:rPr>
  </w:style>
  <w:style w:type="paragraph" w:styleId="Nagłówek1,1.Konspektynumerowane,Gliederung1">
    <w:name w:val="Nagłówek 1,1. Konspekty numerowane,Gliederung1"/>
    <w:basedOn w:val="Normalny"/>
    <w:next w:val="Normalny"/>
    <w:autoRedefine w:val="0"/>
    <w:hidden w:val="0"/>
    <w:qFormat w:val="0"/>
    <w:pPr>
      <w:keepNext w:val="1"/>
      <w:suppressAutoHyphens w:val="1"/>
      <w:spacing w:after="360" w:line="1" w:lineRule="atLeast"/>
      <w:ind w:leftChars="-1" w:rightChars="0" w:firstLineChars="-1"/>
      <w:jc w:val="both"/>
      <w:textDirection w:val="btLr"/>
      <w:textAlignment w:val="top"/>
      <w:outlineLvl w:val="0"/>
    </w:pPr>
    <w:rPr>
      <w:rFonts w:ascii="Arial" w:hAnsi="Arial"/>
      <w:b w:val="1"/>
      <w:bCs w:val="1"/>
      <w:caps w:val="1"/>
      <w:color w:val="ff0000"/>
      <w:w w:val="100"/>
      <w:kern w:val="32"/>
      <w:position w:val="-1"/>
      <w:sz w:val="26"/>
      <w:szCs w:val="32"/>
      <w:effect w:val="none"/>
      <w:vertAlign w:val="baseline"/>
      <w:cs w:val="0"/>
      <w:em w:val="none"/>
      <w:lang w:bidi="ar-SA" w:eastAsia="und" w:val="und"/>
    </w:rPr>
  </w:style>
  <w:style w:type="character" w:styleId="Domyślnaczcionkaakapitu">
    <w:name w:val="Domyślna czcionka akapitu"/>
    <w:next w:val="Domyślnaczcionkaakapitu"/>
    <w:autoRedefine w:val="0"/>
    <w:hidden w:val="0"/>
    <w:qFormat w:val="0"/>
    <w:rPr>
      <w:w w:val="100"/>
      <w:position w:val="-1"/>
      <w:effect w:val="none"/>
      <w:vertAlign w:val="baseline"/>
      <w:cs w:val="0"/>
      <w:em w:val="none"/>
      <w:lang/>
    </w:rPr>
  </w:style>
  <w:style w:type="table" w:styleId="Standardowy">
    <w:name w:val="Standardowy"/>
    <w:next w:val="Standardowy"/>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0"/>
    <w:pPr>
      <w:suppressAutoHyphens w:val="1"/>
      <w:spacing w:line="1" w:lineRule="atLeast"/>
      <w:ind w:leftChars="-1" w:rightChars="0" w:firstLineChars="-1"/>
      <w:textDirection w:val="btLr"/>
      <w:textAlignment w:val="top"/>
      <w:outlineLvl w:val="0"/>
    </w:pPr>
  </w:style>
  <w:style w:type="paragraph" w:styleId="Akapitzlistą1">
    <w:name w:val="Akapit z listą1"/>
    <w:basedOn w:val="Normalny"/>
    <w:next w:val="Akapitzlistą1"/>
    <w:autoRedefine w:val="0"/>
    <w:hidden w:val="0"/>
    <w:qFormat w:val="0"/>
    <w:pPr>
      <w:suppressAutoHyphens w:val="1"/>
      <w:spacing w:after="120" w:before="120" w:line="1" w:lineRule="atLeast"/>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pl-PL"/>
    </w:rPr>
  </w:style>
  <w:style w:type="character" w:styleId="Odwołaniedokomentarza">
    <w:name w:val="Odwołanie do komentarza"/>
    <w:next w:val="Odwołaniedokomentarza"/>
    <w:autoRedefine w:val="0"/>
    <w:hidden w:val="0"/>
    <w:qFormat w:val="0"/>
    <w:rPr>
      <w:w w:val="100"/>
      <w:position w:val="-1"/>
      <w:sz w:val="16"/>
      <w:szCs w:val="16"/>
      <w:effect w:val="none"/>
      <w:vertAlign w:val="baseline"/>
      <w:cs w:val="0"/>
      <w:em w:val="none"/>
      <w:lang/>
    </w:rPr>
  </w:style>
  <w:style w:type="paragraph" w:styleId="Tekstkomentarza">
    <w:name w:val="Tekst komentarza"/>
    <w:basedOn w:val="Normalny"/>
    <w:next w:val="Tekstkomentarza"/>
    <w:autoRedefine w:val="0"/>
    <w:hidden w:val="0"/>
    <w:qFormat w:val="0"/>
    <w:pPr>
      <w:suppressAutoHyphens w:val="1"/>
      <w:spacing w:after="120" w:line="1" w:lineRule="atLeast"/>
      <w:ind w:leftChars="-1" w:rightChars="0" w:firstLineChars="-1"/>
      <w:jc w:val="both"/>
      <w:textDirection w:val="btLr"/>
      <w:textAlignment w:val="top"/>
      <w:outlineLvl w:val="0"/>
    </w:pPr>
    <w:rPr>
      <w:rFonts w:ascii="Arial" w:hAnsi="Arial"/>
      <w:w w:val="100"/>
      <w:position w:val="-1"/>
      <w:sz w:val="20"/>
      <w:szCs w:val="20"/>
      <w:effect w:val="none"/>
      <w:vertAlign w:val="baseline"/>
      <w:cs w:val="0"/>
      <w:em w:val="none"/>
      <w:lang w:bidi="ar-SA" w:eastAsia="und" w:val="und"/>
    </w:rPr>
  </w:style>
  <w:style w:type="character" w:styleId="TekstkomentarzaZnak">
    <w:name w:val="Tekst komentarza Znak"/>
    <w:next w:val="TekstkomentarzaZnak"/>
    <w:autoRedefine w:val="0"/>
    <w:hidden w:val="0"/>
    <w:qFormat w:val="0"/>
    <w:rPr>
      <w:rFonts w:ascii="Arial" w:hAnsi="Arial"/>
      <w:w w:val="100"/>
      <w:position w:val="-1"/>
      <w:effect w:val="none"/>
      <w:vertAlign w:val="baseline"/>
      <w:cs w:val="0"/>
      <w:em w:val="none"/>
      <w:lang w:bidi="ar-SA" w:eastAsia="und" w:val="und"/>
    </w:rPr>
  </w:style>
  <w:style w:type="character" w:styleId="Nagłówek1Znak,1.KonspektynumerowaneZnak,Gliederung1Znak">
    <w:name w:val="Nagłówek 1 Znak,1. Konspekty numerowane Znak,Gliederung1 Znak"/>
    <w:next w:val="Nagłówek1Znak,1.KonspektynumerowaneZnak,Gliederung1Znak"/>
    <w:autoRedefine w:val="0"/>
    <w:hidden w:val="0"/>
    <w:qFormat w:val="0"/>
    <w:rPr>
      <w:rFonts w:ascii="Arial" w:hAnsi="Arial"/>
      <w:b w:val="1"/>
      <w:bCs w:val="1"/>
      <w:caps w:val="1"/>
      <w:color w:val="ff0000"/>
      <w:w w:val="100"/>
      <w:kern w:val="32"/>
      <w:position w:val="-1"/>
      <w:sz w:val="26"/>
      <w:szCs w:val="32"/>
      <w:effect w:val="none"/>
      <w:vertAlign w:val="baseline"/>
      <w:cs w:val="0"/>
      <w:em w:val="none"/>
      <w:lang w:bidi="ar-SA" w:eastAsia="und" w:val="und"/>
    </w:rPr>
  </w:style>
  <w:style w:type="paragraph" w:styleId="Tekstpodstawowywcięty">
    <w:name w:val="Tekst podstawowy wcięty"/>
    <w:basedOn w:val="Normalny"/>
    <w:next w:val="Tekstpodstawowywcięty"/>
    <w:autoRedefine w:val="0"/>
    <w:hidden w:val="0"/>
    <w:qFormat w:val="0"/>
    <w:pPr>
      <w:suppressAutoHyphens w:val="1"/>
      <w:spacing w:after="0" w:before="80" w:line="276" w:lineRule="auto"/>
      <w:ind w:left="709" w:leftChars="-1" w:rightChars="0" w:firstLineChars="-1"/>
      <w:jc w:val="both"/>
      <w:textDirection w:val="btLr"/>
      <w:textAlignment w:val="top"/>
      <w:outlineLvl w:val="0"/>
    </w:pPr>
    <w:rPr>
      <w:rFonts w:ascii="Arial" w:hAnsi="Arial"/>
      <w:color w:val="ff0000"/>
      <w:w w:val="100"/>
      <w:position w:val="-1"/>
      <w:sz w:val="24"/>
      <w:szCs w:val="20"/>
      <w:effect w:val="none"/>
      <w:vertAlign w:val="baseline"/>
      <w:cs w:val="0"/>
      <w:em w:val="none"/>
      <w:lang w:bidi="ar-SA" w:eastAsia="und" w:val="und"/>
    </w:rPr>
  </w:style>
  <w:style w:type="character" w:styleId="TekstpodstawowywciętyZnak">
    <w:name w:val="Tekst podstawowy wcięty Znak"/>
    <w:next w:val="TekstpodstawowywciętyZnak"/>
    <w:autoRedefine w:val="0"/>
    <w:hidden w:val="0"/>
    <w:qFormat w:val="0"/>
    <w:rPr>
      <w:rFonts w:ascii="Arial" w:hAnsi="Arial"/>
      <w:color w:val="ff0000"/>
      <w:w w:val="100"/>
      <w:position w:val="-1"/>
      <w:sz w:val="24"/>
      <w:effect w:val="none"/>
      <w:vertAlign w:val="baseline"/>
      <w:cs w:val="0"/>
      <w:em w:val="none"/>
      <w:lang w:bidi="ar-SA" w:eastAsia="und" w:val="und"/>
    </w:rPr>
  </w:style>
  <w:style w:type="paragraph" w:styleId="Tekstdymka">
    <w:name w:val="Tekst dymka"/>
    <w:basedOn w:val="Normalny"/>
    <w:next w:val="Tekstdymka"/>
    <w:autoRedefine w:val="0"/>
    <w:hidden w:val="0"/>
    <w:qFormat w:val="0"/>
    <w:pPr>
      <w:suppressAutoHyphens w:val="1"/>
      <w:spacing w:after="120" w:line="1" w:lineRule="atLeast"/>
      <w:ind w:leftChars="-1" w:rightChars="0" w:firstLineChars="-1"/>
      <w:jc w:val="both"/>
      <w:textDirection w:val="btLr"/>
      <w:textAlignment w:val="top"/>
      <w:outlineLvl w:val="0"/>
    </w:pPr>
    <w:rPr>
      <w:rFonts w:ascii="Tahoma" w:cs="Tahoma" w:hAnsi="Tahoma"/>
      <w:w w:val="100"/>
      <w:position w:val="-1"/>
      <w:sz w:val="16"/>
      <w:szCs w:val="16"/>
      <w:effect w:val="none"/>
      <w:vertAlign w:val="baseline"/>
      <w:cs w:val="0"/>
      <w:em w:val="none"/>
      <w:lang w:bidi="ar-SA" w:eastAsia="pl-PL" w:val="pl-PL"/>
    </w:rPr>
  </w:style>
  <w:style w:type="paragraph" w:styleId="Tematkomentarza">
    <w:name w:val="Temat komentarza"/>
    <w:basedOn w:val="Tekstkomentarza"/>
    <w:next w:val="Tekstkomentarza"/>
    <w:autoRedefine w:val="0"/>
    <w:hidden w:val="0"/>
    <w:qFormat w:val="0"/>
    <w:pPr>
      <w:suppressAutoHyphens w:val="1"/>
      <w:spacing w:after="120" w:line="1" w:lineRule="atLeast"/>
      <w:ind w:leftChars="-1" w:rightChars="0" w:firstLineChars="-1"/>
      <w:jc w:val="both"/>
      <w:textDirection w:val="btLr"/>
      <w:textAlignment w:val="top"/>
      <w:outlineLvl w:val="0"/>
    </w:pPr>
    <w:rPr>
      <w:rFonts w:ascii="Arial" w:hAnsi="Arial"/>
      <w:b w:val="1"/>
      <w:bCs w:val="1"/>
      <w:w w:val="100"/>
      <w:position w:val="-1"/>
      <w:sz w:val="20"/>
      <w:szCs w:val="20"/>
      <w:effect w:val="none"/>
      <w:vertAlign w:val="baseline"/>
      <w:cs w:val="0"/>
      <w:em w:val="none"/>
      <w:lang w:bidi="ar-SA" w:eastAsia="pl-PL" w:val="pl-PL"/>
    </w:rPr>
  </w:style>
  <w:style w:type="paragraph" w:styleId="Akapitzlistą">
    <w:name w:val="Akapit z listą"/>
    <w:basedOn w:val="Normalny"/>
    <w:next w:val="Akapitzlistą"/>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cs="Times New Roman" w:eastAsia="Calibri" w:hAnsi="Calibri"/>
      <w:w w:val="100"/>
      <w:position w:val="-1"/>
      <w:sz w:val="22"/>
      <w:szCs w:val="22"/>
      <w:effect w:val="none"/>
      <w:vertAlign w:val="baseline"/>
      <w:cs w:val="0"/>
      <w:em w:val="none"/>
      <w:lang w:bidi="ar-SA" w:eastAsia="en-US" w:val="pl-PL"/>
    </w:rPr>
  </w:style>
  <w:style w:type="paragraph" w:styleId="Nagłówek">
    <w:name w:val="Nagłówek"/>
    <w:basedOn w:val="Normalny"/>
    <w:next w:val="Nagłówek"/>
    <w:autoRedefine w:val="0"/>
    <w:hidden w:val="0"/>
    <w:qFormat w:val="0"/>
    <w:pPr>
      <w:tabs>
        <w:tab w:val="center" w:leader="none" w:pos="4680"/>
        <w:tab w:val="right" w:leader="none" w:pos="9360"/>
      </w:tabs>
      <w:suppressAutoHyphens w:val="1"/>
      <w:spacing w:after="120" w:line="1" w:lineRule="atLeast"/>
      <w:ind w:leftChars="-1" w:rightChars="0" w:firstLineChars="-1"/>
      <w:jc w:val="both"/>
      <w:textDirection w:val="btLr"/>
      <w:textAlignment w:val="top"/>
      <w:outlineLvl w:val="0"/>
    </w:pPr>
    <w:rPr>
      <w:rFonts w:ascii="Arial" w:hAnsi="Arial"/>
      <w:w w:val="100"/>
      <w:position w:val="-1"/>
      <w:sz w:val="22"/>
      <w:szCs w:val="24"/>
      <w:effect w:val="none"/>
      <w:vertAlign w:val="baseline"/>
      <w:cs w:val="0"/>
      <w:em w:val="none"/>
      <w:lang w:bidi="ar-SA" w:eastAsia="pl-PL" w:val="pl-PL"/>
    </w:rPr>
  </w:style>
  <w:style w:type="character" w:styleId="NagłówekZnak">
    <w:name w:val="Nagłówek Znak"/>
    <w:next w:val="NagłówekZnak"/>
    <w:autoRedefine w:val="0"/>
    <w:hidden w:val="0"/>
    <w:qFormat w:val="0"/>
    <w:rPr>
      <w:rFonts w:ascii="Arial" w:hAnsi="Arial"/>
      <w:w w:val="100"/>
      <w:position w:val="-1"/>
      <w:sz w:val="22"/>
      <w:szCs w:val="24"/>
      <w:effect w:val="none"/>
      <w:vertAlign w:val="baseline"/>
      <w:cs w:val="0"/>
      <w:em w:val="none"/>
      <w:lang w:eastAsia="pl-PL" w:val="pl-PL"/>
    </w:rPr>
  </w:style>
  <w:style w:type="paragraph" w:styleId="Stopka">
    <w:name w:val="Stopka"/>
    <w:basedOn w:val="Normalny"/>
    <w:next w:val="Stopka"/>
    <w:autoRedefine w:val="0"/>
    <w:hidden w:val="0"/>
    <w:qFormat w:val="0"/>
    <w:pPr>
      <w:tabs>
        <w:tab w:val="center" w:leader="none" w:pos="4680"/>
        <w:tab w:val="right" w:leader="none" w:pos="9360"/>
      </w:tabs>
      <w:suppressAutoHyphens w:val="1"/>
      <w:spacing w:after="120" w:line="1" w:lineRule="atLeast"/>
      <w:ind w:leftChars="-1" w:rightChars="0" w:firstLineChars="-1"/>
      <w:jc w:val="both"/>
      <w:textDirection w:val="btLr"/>
      <w:textAlignment w:val="top"/>
      <w:outlineLvl w:val="0"/>
    </w:pPr>
    <w:rPr>
      <w:rFonts w:ascii="Arial" w:hAnsi="Arial"/>
      <w:w w:val="100"/>
      <w:position w:val="-1"/>
      <w:sz w:val="22"/>
      <w:szCs w:val="24"/>
      <w:effect w:val="none"/>
      <w:vertAlign w:val="baseline"/>
      <w:cs w:val="0"/>
      <w:em w:val="none"/>
      <w:lang w:bidi="ar-SA" w:eastAsia="pl-PL" w:val="pl-PL"/>
    </w:rPr>
  </w:style>
  <w:style w:type="character" w:styleId="StopkaZnak">
    <w:name w:val="Stopka Znak"/>
    <w:next w:val="StopkaZnak"/>
    <w:autoRedefine w:val="0"/>
    <w:hidden w:val="0"/>
    <w:qFormat w:val="0"/>
    <w:rPr>
      <w:rFonts w:ascii="Arial" w:hAnsi="Arial"/>
      <w:w w:val="100"/>
      <w:position w:val="-1"/>
      <w:sz w:val="22"/>
      <w:szCs w:val="24"/>
      <w:effect w:val="none"/>
      <w:vertAlign w:val="baseline"/>
      <w:cs w:val="0"/>
      <w:em w:val="none"/>
      <w:lang w:eastAsia="pl-PL" w:val="pl-P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U+eAvwPzmWPeW4rbVJi5I8JnLg==">CgMxLjA4AHIhMU95MV9mdU5vcVNJb3RfTFdjV0lxR2pUeDZVQmhFSDNj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2026-02-16T14:35:00Z</dcterms:created>
  <dc:creator>kamila.sokolowska@marsh.com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str>true</vt:lpstr>
  </property>
  <property fmtid="{D5CDD505-2E9C-101B-9397-08002B2CF9AE}" pid="3" name="MSIP_Label_38f1469a-2c2a-4aee-b92b-090d4c5468ff_SetDate">
    <vt:lpstr>2023-05-22T07:17:13Z</vt:lpstr>
  </property>
  <property fmtid="{D5CDD505-2E9C-101B-9397-08002B2CF9AE}" pid="4" name="MSIP_Label_38f1469a-2c2a-4aee-b92b-090d4c5468ff_Method">
    <vt:lpstr>Standard</vt:lpstr>
  </property>
  <property fmtid="{D5CDD505-2E9C-101B-9397-08002B2CF9AE}" pid="5" name="MSIP_Label_38f1469a-2c2a-4aee-b92b-090d4c5468ff_Name">
    <vt:lpstr>Confidential - Unmarked</vt:lpstr>
  </property>
  <property fmtid="{D5CDD505-2E9C-101B-9397-08002B2CF9AE}" pid="6" name="MSIP_Label_38f1469a-2c2a-4aee-b92b-090d4c5468ff_SiteId">
    <vt:lpstr>2a6e6092-73e4-4752-b1a5-477a17f5056d</vt:lpstr>
  </property>
  <property fmtid="{D5CDD505-2E9C-101B-9397-08002B2CF9AE}" pid="7" name="MSIP_Label_38f1469a-2c2a-4aee-b92b-090d4c5468ff_ActionId">
    <vt:lpstr>5785c67a-065c-45cd-91d4-d333afbcfa31</vt:lpstr>
  </property>
  <property fmtid="{D5CDD505-2E9C-101B-9397-08002B2CF9AE}" pid="8" name="MSIP_Label_38f1469a-2c2a-4aee-b92b-090d4c5468ff_ContentBits">
    <vt:lpstr>0</vt:lpstr>
  </property>
  <property fmtid="{D5CDD505-2E9C-101B-9397-08002B2CF9AE}" pid="9" name="Order">
    <vt:lpstr>49136800.0000000</vt:lpstr>
  </property>
  <property fmtid="{D5CDD505-2E9C-101B-9397-08002B2CF9AE}" pid="10" name="lcf76f155ced4ddcb4097134ff3c332f">
    <vt:lpstr/>
  </property>
  <property fmtid="{D5CDD505-2E9C-101B-9397-08002B2CF9AE}" pid="11" name="TaxCatchAll">
    <vt:lpstr/>
  </property>
</Properties>
</file>