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center" w:leader="none" w:pos="4536"/>
          <w:tab w:val="right" w:leader="none" w:pos="9072"/>
        </w:tabs>
        <w:spacing w:after="0" w:lineRule="auto"/>
        <w:jc w:val="right"/>
        <w:rPr>
          <w:rFonts w:ascii="Arial" w:cs="Arial" w:eastAsia="Arial" w:hAnsi="Arial"/>
          <w:b w:val="1"/>
          <w:bCs w:val="1"/>
          <w:color w:val="0000ff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ff"/>
          <w:sz w:val="20"/>
          <w:szCs w:val="20"/>
          <w:rtl w:val="0"/>
        </w:rPr>
        <w:t xml:space="preserve">Załącznik nr 19 do Umowy</w:t>
      </w:r>
    </w:p>
    <w:p w:rsidR="00000000" w:rsidDel="00000000" w:rsidP="00000000" w:rsidRDefault="00000000" w:rsidRPr="00000000" w14:paraId="00000002">
      <w:pPr>
        <w:spacing w:after="40" w:before="40" w:line="360" w:lineRule="auto"/>
        <w:jc w:val="right"/>
        <w:rPr>
          <w:rFonts w:ascii="Arial" w:cs="Arial" w:eastAsia="Arial" w:hAnsi="Arial"/>
          <w:color w:val="0000ff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ff"/>
          <w:sz w:val="20"/>
          <w:szCs w:val="20"/>
          <w:rtl w:val="0"/>
        </w:rPr>
        <w:t xml:space="preserve">WHAL-VLD-00xxx00-PMT-PRO-0024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center" w:leader="none" w:pos="4536"/>
          <w:tab w:val="right" w:leader="none" w:pos="9072"/>
        </w:tabs>
        <w:spacing w:after="0" w:lineRule="auto"/>
        <w:jc w:val="right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keepNext w:val="0"/>
        <w:keepLines w:val="0"/>
        <w:spacing w:after="0" w:before="0" w:lineRule="auto"/>
        <w:ind w:right="-466"/>
        <w:jc w:val="both"/>
        <w:rPr>
          <w:rFonts w:ascii="Arial" w:cs="Arial" w:eastAsia="Arial" w:hAnsi="Arial"/>
          <w:color w:val="2e75b5"/>
          <w:sz w:val="24"/>
          <w:szCs w:val="24"/>
        </w:rPr>
      </w:pPr>
      <w:bookmarkStart w:colFirst="0" w:colLast="0" w:name="_heading=h.ok9e30258ltb" w:id="0"/>
      <w:bookmarkEnd w:id="0"/>
      <w:r w:rsidDel="00000000" w:rsidR="00000000" w:rsidRPr="00000000">
        <w:rPr>
          <w:rFonts w:ascii="Arial" w:cs="Arial" w:eastAsia="Arial" w:hAnsi="Arial"/>
          <w:color w:val="2e75b5"/>
          <w:sz w:val="24"/>
          <w:szCs w:val="24"/>
          <w:rtl w:val="0"/>
        </w:rPr>
        <w:t xml:space="preserve">“Wymagania cyberbezpieczeństwa wobec dostawców Spółek Grupy Veolia w Polsce” - załącznik do umów ze stronami trzecimi.</w:t>
      </w:r>
    </w:p>
    <w:p w:rsidR="00000000" w:rsidDel="00000000" w:rsidP="00000000" w:rsidRDefault="00000000" w:rsidRPr="00000000" w14:paraId="00000005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ind w:right="-466"/>
        <w:jc w:val="both"/>
        <w:rPr>
          <w:rFonts w:ascii="Arial" w:cs="Arial" w:eastAsia="Arial" w:hAnsi="Arial"/>
          <w:color w:val="1c1c1f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Zarządzanie relacjami z dostawcami w odniesieniu do cyberbezpieczeństwa jest ważną częścią wewnętrznego zarządzania ryzykiem oraz powszechną praktyką zgodnie z międzynarodowymi normami (np.  ISO 27000, dyrektywa NIS). </w:t>
      </w:r>
    </w:p>
    <w:p w:rsidR="00000000" w:rsidDel="00000000" w:rsidP="00000000" w:rsidRDefault="00000000" w:rsidRPr="00000000" w14:paraId="00000007">
      <w:pPr>
        <w:pStyle w:val="Heading1"/>
        <w:numPr>
          <w:ilvl w:val="0"/>
          <w:numId w:val="1"/>
        </w:numPr>
        <w:spacing w:after="0" w:before="0" w:lineRule="auto"/>
        <w:ind w:left="566" w:right="-466" w:hanging="360"/>
        <w:jc w:val="both"/>
        <w:rPr>
          <w:rFonts w:ascii="Arial" w:cs="Arial" w:eastAsia="Arial" w:hAnsi="Arial"/>
          <w:color w:val="2e75b5"/>
        </w:rPr>
      </w:pPr>
      <w:bookmarkStart w:colFirst="0" w:colLast="0" w:name="_heading=h.d9rbmx9gy4a7" w:id="1"/>
      <w:bookmarkEnd w:id="1"/>
      <w:r w:rsidDel="00000000" w:rsidR="00000000" w:rsidRPr="00000000">
        <w:rPr>
          <w:rFonts w:ascii="Arial" w:cs="Arial" w:eastAsia="Arial" w:hAnsi="Arial"/>
          <w:color w:val="2e75b5"/>
          <w:sz w:val="22"/>
          <w:szCs w:val="22"/>
          <w:rtl w:val="0"/>
        </w:rPr>
        <w:t xml:space="preserve">Bezpieczeństwo dostępu podmiotów zewnętrznych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Oferent, Podmiot przetwarzający, Wykonawca lub Kontrahent Veolii (zwany dalej „Dostawcą”) oświadcza i gwarantuje, że zapoznał się z niniejszymi Wymaganiami cyberbezpieczeństwa i przyjmuje je do wiadomości oraz zgadza się ich przestrzegać podczas: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spacing w:after="0" w:lineRule="auto"/>
        <w:ind w:left="2409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uzyskiwania dostępu do obiektów, sieci i/lub systemów informatycznych Grupy Veolia w Polsce; lub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spacing w:after="0" w:lineRule="auto"/>
        <w:ind w:left="2409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uzyskiwania dostępu, przetwarzania lub przechowywania informacji/danych Grupy Veolia w Polsce; lub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spacing w:after="0" w:lineRule="auto"/>
        <w:ind w:left="2409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dostarczania usług infrastruktury IT i/lub tworzenia oprogramowania.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Wszelkie odniesienia do „Zamawiającego” w niniejszym dokumencie stanowią odniesienie nie tylko do danych Veolii (lub systemów, usług itp.), ale również do danych Klientów i Partnerów Grupy Veolia w Polsce.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Naruszenie tych postanowień przez Dostawcę może spowodować natychmiastowe jednostronne rozwiązanie Umowy przez Zamawiającego oraz stanowi podstawę do żądania pokrycia powstałej szkody lub zapłaty kary umownej, jeśli taki obowiązek wynika z zawartej Umowy.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Przed uzyskaniem dostępu do zasobów informatycznych lub danych Zamawiającego wymagane jest podpisanie umowy o zachowaniu poufności (chyba że postanowienia dotyczące zachowania poufności są zawarte w Umowie głównej), a jeżeli ma miejsce udostępnienie danych osobowych, wymagane jest podpisanie umowy o powierzeniu przetwarzania danych osobowych.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Pracownicy, współpracownicy oraz ewentualni podwykonawcy Dostawcy wykonujący zadania na rzecz Zamawiającego muszą być informowani o zasadach cyberbezpieczeństwa przedstawionych w niniejszym dokumencie.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1"/>
        <w:numPr>
          <w:ilvl w:val="0"/>
          <w:numId w:val="1"/>
        </w:numPr>
        <w:spacing w:after="0" w:before="0" w:lineRule="auto"/>
        <w:ind w:left="720" w:right="-466" w:hanging="360"/>
        <w:jc w:val="both"/>
        <w:rPr>
          <w:rFonts w:ascii="Arial" w:cs="Arial" w:eastAsia="Arial" w:hAnsi="Arial"/>
          <w:color w:val="2e75b5"/>
        </w:rPr>
      </w:pPr>
      <w:bookmarkStart w:colFirst="0" w:colLast="0" w:name="_heading=h.rl1cqiy53h8l" w:id="2"/>
      <w:bookmarkEnd w:id="2"/>
      <w:r w:rsidDel="00000000" w:rsidR="00000000" w:rsidRPr="00000000">
        <w:rPr>
          <w:rFonts w:ascii="Arial" w:cs="Arial" w:eastAsia="Arial" w:hAnsi="Arial"/>
          <w:color w:val="2e75b5"/>
          <w:sz w:val="22"/>
          <w:szCs w:val="22"/>
          <w:rtl w:val="0"/>
        </w:rPr>
        <w:t xml:space="preserve">Podwykonawstwo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Rule="auto"/>
        <w:ind w:left="720" w:right="-466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Dostawca posiada umowy kontraktowe ze wszystkimi podwykonawcami usług w</w:t>
      </w:r>
      <w:r w:rsidDel="00000000" w:rsidR="00000000" w:rsidRPr="00000000">
        <w:rPr>
          <w:rFonts w:ascii="Arial" w:cs="Arial" w:eastAsia="Arial" w:hAnsi="Arial"/>
          <w:rtl w:val="0"/>
        </w:rPr>
        <w:t xml:space="preserve"> celu ustalenia odpowiedzialności za bezpieczeństwo danych Zamawiającego, które przetwarzają/przechowują/przekazują w imieniu Zamawiającego. Dostawca dołoży wszelkich starań, aby środki bezpieczeństwa wdrażane przez podwykonawców były zgodne z poziomem określonym w niniejszych Wymaganiach i w Umowie głównej lub go przewyższające. Dostawca, w ramach procesu zarządzania dostawcami, weryfikuje skuteczność tych środków.</w:t>
      </w:r>
    </w:p>
    <w:p w:rsidR="00000000" w:rsidDel="00000000" w:rsidP="00000000" w:rsidRDefault="00000000" w:rsidRPr="00000000" w14:paraId="00000012">
      <w:pPr>
        <w:pStyle w:val="Heading1"/>
        <w:numPr>
          <w:ilvl w:val="0"/>
          <w:numId w:val="1"/>
        </w:numPr>
        <w:spacing w:after="0" w:before="0" w:lineRule="auto"/>
        <w:ind w:left="720" w:right="-466" w:hanging="360"/>
        <w:jc w:val="both"/>
        <w:rPr>
          <w:rFonts w:ascii="Arial" w:cs="Arial" w:eastAsia="Arial" w:hAnsi="Arial"/>
          <w:color w:val="2e75b5"/>
        </w:rPr>
      </w:pPr>
      <w:bookmarkStart w:colFirst="0" w:colLast="0" w:name="_heading=h.ppcxjttkke4n" w:id="3"/>
      <w:bookmarkEnd w:id="3"/>
      <w:r w:rsidDel="00000000" w:rsidR="00000000" w:rsidRPr="00000000">
        <w:rPr>
          <w:rFonts w:ascii="Arial" w:cs="Arial" w:eastAsia="Arial" w:hAnsi="Arial"/>
          <w:color w:val="2e75b5"/>
          <w:sz w:val="22"/>
          <w:szCs w:val="22"/>
          <w:rtl w:val="0"/>
        </w:rPr>
        <w:t xml:space="preserve">Zasoby ludzkie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  <w:color w:val="1c1c1f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 celu zminimalizowania ryzyka</w:t>
      </w: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powstania incydentu cyberbezpieczeństwa, Dostawca przeprowadza weryfikację kwalifikacji i referencji pracowników i współpracowników w zakresie dozwolonym przez prawo oraz zgodnie z wewnętrznymi procedurami rekrutacyjnymi.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  <w:color w:val="1c1c1f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Dostawca potwierdza, że wszyscy pracownicy i współpracownicy posiadają kompetencje niezbędne do pełnienia powierzonych im ról i obowiązków, podlegają działaniom podnoszącym świadomość i przechodzą odpowiednie szkolenia w celu zwiększenia kompetencji w zakresie cyberbezpieczeństwa.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1"/>
        <w:numPr>
          <w:ilvl w:val="0"/>
          <w:numId w:val="1"/>
        </w:numPr>
        <w:spacing w:after="0" w:before="0" w:lineRule="auto"/>
        <w:ind w:left="720" w:right="-466" w:hanging="360"/>
        <w:jc w:val="both"/>
        <w:rPr>
          <w:rFonts w:ascii="Arial" w:cs="Arial" w:eastAsia="Arial" w:hAnsi="Arial"/>
          <w:color w:val="2e75b5"/>
        </w:rPr>
      </w:pPr>
      <w:bookmarkStart w:colFirst="0" w:colLast="0" w:name="_heading=h.oppx5btdz4lz" w:id="4"/>
      <w:bookmarkEnd w:id="4"/>
      <w:r w:rsidDel="00000000" w:rsidR="00000000" w:rsidRPr="00000000">
        <w:rPr>
          <w:rFonts w:ascii="Arial" w:cs="Arial" w:eastAsia="Arial" w:hAnsi="Arial"/>
          <w:color w:val="2e75b5"/>
          <w:sz w:val="22"/>
          <w:szCs w:val="22"/>
          <w:rtl w:val="0"/>
        </w:rPr>
        <w:t xml:space="preserve">Bezpieczeństwo fizyczne i środowiskowe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Obiekty Grupy Veolia w Polsce zostały podzielone na strefy ochrony odpowiadające środkom bezpieczeństwa i prawom dostępu spełniającym odpowiednie wymogi bezpieczeństwa.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Fizyczny dostęp do obiektów i/lub zasobów informatycznych Zamawiającego dla personelu Dostawcy możliwy jest tylko za zgodą i na zasadach obowiązujących u Zamawiającego.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W uzasadnionych przypadkach Dostawca może otrzymać imienne karty dostępowe do obiektów Zamawiającego. Karty te mogą być wykorzystywane tylko i wyłącznie przez personel Dostawcy, dla którego zostały wystawione. Przekazywanie kart między członkami personelu Dostawcy lub osobami trzecimi stanowi naruszenie zasad bezpieczeństwa Zamawiającego.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1"/>
        <w:numPr>
          <w:ilvl w:val="0"/>
          <w:numId w:val="1"/>
        </w:numPr>
        <w:spacing w:after="0" w:before="0" w:lineRule="auto"/>
        <w:ind w:left="720" w:right="-466" w:hanging="360"/>
        <w:jc w:val="both"/>
        <w:rPr>
          <w:rFonts w:ascii="Arial" w:cs="Arial" w:eastAsia="Arial" w:hAnsi="Arial"/>
          <w:color w:val="2e75b5"/>
        </w:rPr>
      </w:pPr>
      <w:bookmarkStart w:colFirst="0" w:colLast="0" w:name="_heading=h.2ealfukr3qfn" w:id="5"/>
      <w:bookmarkEnd w:id="5"/>
      <w:r w:rsidDel="00000000" w:rsidR="00000000" w:rsidRPr="00000000">
        <w:rPr>
          <w:rFonts w:ascii="Arial" w:cs="Arial" w:eastAsia="Arial" w:hAnsi="Arial"/>
          <w:color w:val="2e75b5"/>
          <w:sz w:val="22"/>
          <w:szCs w:val="22"/>
          <w:rtl w:val="0"/>
        </w:rPr>
        <w:t xml:space="preserve">Dostęp do systemów teleinformatycznych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Zamawiający stosuje mechanizmy kontroli dostępu do systemów teleinformatycznych (SI) w celu weryfikacji tożsamości i ograniczenia dostępu do autoryzowanych użytkowników.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Przed uzyskaniem dostępu do SI Zamawiającego, musi zostać zdefiniowany zakres i warunki używania zasobów Zamawiającego przez Dostawcę.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Dostęp Dostawcy do SI Zamawiającego jest ograniczony do ścisłego niezbędnego minimum (usługa i czas trwania) oraz podlega kontroli przez Zamawiającego.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Nieuprawniony dostęp do SI Zamawiającego jest incydentem bezpieczeństwa.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Członkowie personelu Dostawcy, uprawnieni do dostępu do SI Zamawiającego, mogą logować się wyłącznie przydzielonymi imiennymi kontami systemowymi utworzonymi na potrzeby realizacji Umowy.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Użytkownicy SI Grupy Veolia w Polsce zobowiązani są do stosowania haseł zgodnie z wymogami istniejącymi w Grupie Veolia: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spacing w:after="0" w:lineRule="auto"/>
        <w:ind w:left="2409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minimalna długość hasła 15 znaków (wykorzystania w haśle trzech z czterech typów znaków: dużych lub małych liter, cyfr oraz znaków specjalnych),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2"/>
          <w:numId w:val="1"/>
        </w:numPr>
        <w:spacing w:after="0" w:lineRule="auto"/>
        <w:ind w:left="2409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zablokowanie konta w przypadku 10-krotnej próby wprowadzenia nieprawidłowego hasła.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Nadane imienne poświadczenia do SI Grupy Veolia w Polsce nie mogą być współdzielone, ujawniane i przekazywane.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Domyślne hasła do SI powinny zostać zmienione bez zbędnej zwłoki.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  <w:color w:val="1c1c1f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Dostawca zobowiązany jest do niezwłocznego poinformowania Zamawiającego o zakończeniu/wygaśnięciu zatrudnienia pracowników lub współpracowników posiadających prawa dostępu do zasobów Zamawiającego. </w:t>
      </w:r>
    </w:p>
    <w:p w:rsidR="00000000" w:rsidDel="00000000" w:rsidP="00000000" w:rsidRDefault="00000000" w:rsidRPr="00000000" w14:paraId="00000025">
      <w:pPr>
        <w:pStyle w:val="Heading1"/>
        <w:numPr>
          <w:ilvl w:val="0"/>
          <w:numId w:val="1"/>
        </w:numPr>
        <w:spacing w:after="0" w:before="0" w:lineRule="auto"/>
        <w:ind w:left="720" w:right="-466" w:hanging="360"/>
        <w:jc w:val="both"/>
        <w:rPr>
          <w:rFonts w:ascii="Arial" w:cs="Arial" w:eastAsia="Arial" w:hAnsi="Arial"/>
          <w:color w:val="2e75b5"/>
        </w:rPr>
      </w:pPr>
      <w:bookmarkStart w:colFirst="0" w:colLast="0" w:name="_heading=h.oxtv4ni9j7pl" w:id="6"/>
      <w:bookmarkEnd w:id="6"/>
      <w:r w:rsidDel="00000000" w:rsidR="00000000" w:rsidRPr="00000000">
        <w:rPr>
          <w:rFonts w:ascii="Arial" w:cs="Arial" w:eastAsia="Arial" w:hAnsi="Arial"/>
          <w:color w:val="2e75b5"/>
          <w:sz w:val="22"/>
          <w:szCs w:val="22"/>
          <w:rtl w:val="0"/>
        </w:rPr>
        <w:t xml:space="preserve">Zarządzanie infrastrukturą teleinformatyczną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Zabronione jest podłączanie jakiegokolwiek sprzętu elektronicznego do sieci teleinformatycznej Grupy Veolia w Polsce bez uprzedniego uzyskania zgody i akceptacji informatyki centralnej (IC). Zasoby podłączone niezgodnie z powyższym zapisem będą uważane za obce oraz potencjalnie groźne i mogą być odłączone przez IC bez powiadomienia właściciela, z odnotowaniem tego faktu jako incydent bezpieczeństwa.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  <w:color w:val="1c1c1f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Bezwzględnie niedozwolone jest instalowanie przez Dostawcę urządzeń i wyposażenia bezprzewodowego w Spółkach Grupy Veolia w Polsce bez uprzedniej akceptacji IC. Instalacji i konfiguracji urządzeń i wyposażenia bezprzewodowego mogą dokonywać pracownicy IC lub osoby każdorazowo upoważnione przez IC.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Dostawca może uzyskać bezpośredni dostęp do wewnętrznej sieci komputerowej Zamawiającego wyłącznie w uzasadnionych przypadkach i wyłącznie z wykorzystaniem sprzętu Zamawiającego.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  <w:color w:val="1c1c1f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Dostęp zdalny do zasobów informatycznych Zamawiającego możliwy jest jedynie z wykorzystaniem kanałów szyfrowanych VPN, zabezpieczonych uwierzytelnianiem wieloskładnikowym (MFA) wskazanym przez Zamawiającego oraz z wykorzystaniem narzędzia klasy PAM (Privileged Access Management).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Wszystkie komputery Dostawcy, na których będzie miał dostęp do komputerowej sieci Zamawiającego, muszą mieć zainstalowany aktualny system operacyjny, aktywną ochronę sieciową oraz antywirusową.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  <w:color w:val="1c1c1f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Dostawca zapewnia ochronę wszystkich aplikacji, systemów i elementów sieci we własnej infrastrukturze, za pomocą odpowiednich narzędzi i procesów zarządzania podatnościami, wykorzystywanych do przetwarzania informacji lub dostępu do infrastruktury Zamawiającego.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Dostawca każdorazowo poinformuje Zamawiającego o wprowadzaniu istotnych zmian w zabezpieczeniach mających realny wpływ na obniżenie poziomu cyberbezpieczeństwa zasobów Dostawcy: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2"/>
          <w:numId w:val="1"/>
        </w:numPr>
        <w:spacing w:after="0" w:lineRule="auto"/>
        <w:ind w:left="2409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wykorzystywanych do świadczenia usługi na rzecz Zamawiającego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2"/>
          <w:numId w:val="1"/>
        </w:numPr>
        <w:spacing w:after="0" w:lineRule="auto"/>
        <w:ind w:left="2409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na których przetwarza dane Zamawiającego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Wszelkie wprowadzone zmiany w SI Zamawiającego wykonywane przez Dostawcę, muszą zostać zaakceptowane przez Zamawiającego.</w:t>
      </w:r>
      <w:r w:rsidDel="00000000" w:rsidR="00000000" w:rsidRPr="00000000">
        <w:rPr>
          <w:rFonts w:ascii="Arial" w:cs="Arial" w:eastAsia="Arial" w:hAnsi="Arial"/>
          <w:rtl w:val="0"/>
        </w:rPr>
        <w:t xml:space="preserve"> Zamawiający jest odpowiedzialny za wykonanie kopii bezpieczeństwa przed wprowadzeniem zmian, chyba że umowa stanowi inaczej.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Każdorazowo przed wprowadzeniem zmian w środowisku produkcyjnym Zamawiającego, Dostawca ma obowiązek przetestować te zmiany w środowisku testowym. Podczas testów Dostawca w szczególności sprawdzi czy poziom bezpieczeństwa danych nie obniży się po wprowadzeniu zmiany.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Środowiska testowe i deweloperskie mogą być zasilone przez Dostawcę wyłącznie danymi zanonimizowanymi, a jeżeli jest to niemożliwe to danymi poddanymi pseudonimizacji. W wyjątkowych, uzasadnionych przypadkach, gdy zastosowanie anonimizacji lub pseudonimizacji jest niemożliwe (m.in ze względu na standardy techniczne podmiotu zewnętrznego), Dostawca zwróci się do Zamawiającego, celem  wspólnego ustalenia alternatywnego sposobu realizacji i wykonania testów, który zapewni odpowiedni poziom ochrony danych Zamawiającego.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1"/>
        <w:numPr>
          <w:ilvl w:val="0"/>
          <w:numId w:val="1"/>
        </w:numPr>
        <w:spacing w:after="0" w:before="0" w:lineRule="auto"/>
        <w:ind w:left="720" w:right="-466" w:hanging="360"/>
        <w:jc w:val="both"/>
        <w:rPr>
          <w:rFonts w:ascii="Arial" w:cs="Arial" w:eastAsia="Arial" w:hAnsi="Arial"/>
          <w:color w:val="2e75b5"/>
        </w:rPr>
      </w:pPr>
      <w:bookmarkStart w:colFirst="0" w:colLast="0" w:name="_heading=h.muclmb7184p9" w:id="7"/>
      <w:bookmarkEnd w:id="7"/>
      <w:r w:rsidDel="00000000" w:rsidR="00000000" w:rsidRPr="00000000">
        <w:rPr>
          <w:rFonts w:ascii="Arial" w:cs="Arial" w:eastAsia="Arial" w:hAnsi="Arial"/>
          <w:color w:val="2e75b5"/>
          <w:sz w:val="22"/>
          <w:szCs w:val="22"/>
          <w:rtl w:val="0"/>
        </w:rPr>
        <w:t xml:space="preserve">Bezpieczeństwo danych/informacji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after="0" w:lineRule="auto"/>
        <w:ind w:left="1440" w:right="-447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Dostawca odpowiada za zawinione działania wykonane przez swoich pracowników, jak również podwykonawców działających w jego imieniu, w zakresie realizacji niniejszej umowy, w szczególności za: umyślne lub wynikające z rażącego niedbalstwa udostępnienie osobom nieupoważnionym, przetwarzanie z naruszeniem przepisów prawa, zmianę, usunięcie, uszkodzenie, wyciek i utratę danych Zamawiającego.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Dostawca zapewnia stosowanie środków zapobiegających utracie i wyciekowi informacji Zamawiającego przetwarzanych we własnej infrastrukturze,</w:t>
      </w:r>
      <w:r w:rsidDel="00000000" w:rsidR="00000000" w:rsidRPr="00000000">
        <w:rPr>
          <w:rFonts w:ascii="Arial" w:cs="Arial" w:eastAsia="Arial" w:hAnsi="Arial"/>
          <w:rtl w:val="0"/>
        </w:rPr>
        <w:t xml:space="preserve"> zgodnie z poziomem klasyfikacji informacji przyjętej w Veolii. Klasyfikacja jest ustalana na podstawie wymagań dotyczących poufności, integralności i dostępności informacji. Klasyfikacja obejmuje 3 klasy, które regulują sposób postępowania z informacjami:</w:t>
      </w:r>
    </w:p>
    <w:p w:rsidR="00000000" w:rsidDel="00000000" w:rsidP="00000000" w:rsidRDefault="00000000" w:rsidRPr="00000000" w14:paraId="00000035">
      <w:pPr>
        <w:numPr>
          <w:ilvl w:val="2"/>
          <w:numId w:val="1"/>
        </w:numPr>
        <w:spacing w:after="0" w:lineRule="auto"/>
        <w:ind w:left="2409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Ogólnodostępne (open data) - informacje, które są publicznie dostępne i których publikacja nie będzie powodowała strat dla Zamawiającego,</w:t>
      </w:r>
    </w:p>
    <w:p w:rsidR="00000000" w:rsidDel="00000000" w:rsidP="00000000" w:rsidRDefault="00000000" w:rsidRPr="00000000" w14:paraId="00000036">
      <w:pPr>
        <w:numPr>
          <w:ilvl w:val="2"/>
          <w:numId w:val="1"/>
        </w:numPr>
        <w:spacing w:after="0" w:lineRule="auto"/>
        <w:ind w:left="2409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Służbowe (non-confidential data) - informacja może być udostępniana w ograniczonym zakresie, gdyż ujawnienie może mieć wpływ na interesy Grupy Veolia,</w:t>
      </w:r>
    </w:p>
    <w:p w:rsidR="00000000" w:rsidDel="00000000" w:rsidP="00000000" w:rsidRDefault="00000000" w:rsidRPr="00000000" w14:paraId="00000037">
      <w:pPr>
        <w:numPr>
          <w:ilvl w:val="2"/>
          <w:numId w:val="1"/>
        </w:numPr>
        <w:spacing w:after="0" w:lineRule="auto"/>
        <w:ind w:left="2409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Chronione (confidential data) - informacja dostępna tylko dla osób upoważnionych, której ujawnienie spowoduje straty dla Grupy Veolia. Informacje stanowiące tajemnicę przedsiębiorstwa są informacjami chronionymi.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Dostawca zapewnia, że wszystkie informacje Zamawiającego są poddane retencji zgodnie z obowiązującymi wymogami prawnymi, regulacyjnymi i umownymi, a tym samym gwarantuje, że wszystkie informacje </w:t>
      </w:r>
      <w:r w:rsidDel="00000000" w:rsidR="00000000" w:rsidRPr="00000000">
        <w:rPr>
          <w:rFonts w:ascii="Arial" w:cs="Arial" w:eastAsia="Arial" w:hAnsi="Arial"/>
          <w:rtl w:val="0"/>
        </w:rPr>
        <w:t xml:space="preserve">bez aktualnego uzasadnienia ich przetwarzania</w:t>
      </w: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  zostaną niezwłocznie i skutecznie usunięte z zasobów Dostawcy.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Dostawca gwarantuje, że stosuje procedury tworzenia i przechowywania kopii zapasowych Zamawiającego, przetwarzanych na zasobach Dostawcy. Przeprowadzane są regularne testy odzyskiwania danych.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W celu ochrony poufności przesyłanych i przechowywanych danych należy stosować zabezpieczenia kryptograficzne. Dostawca zobowiązuje się do opracowania i udokumentowania zasad zarządzania kluczami kryptograficznymi oraz ich ochrony przed nieautoryzowanym dostępem lub uszkodzeniem/zniszczeniem. Zabezpieczenia kryptograficzne należy stosować w szczególności podczas: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2"/>
          <w:numId w:val="1"/>
        </w:numPr>
        <w:spacing w:after="0" w:lineRule="auto"/>
        <w:ind w:left="2409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wymiany danych z Dostawcą,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2"/>
          <w:numId w:val="1"/>
        </w:numPr>
        <w:spacing w:after="0" w:lineRule="auto"/>
        <w:ind w:left="2409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udostępniania informacji przez Internet,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2"/>
          <w:numId w:val="1"/>
        </w:numPr>
        <w:spacing w:after="0" w:lineRule="auto"/>
        <w:ind w:left="2409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przekazywania informacji, w których mogą znajdować się dane uwierzytelniające do elementów SI,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2"/>
          <w:numId w:val="1"/>
        </w:numPr>
        <w:spacing w:after="0" w:lineRule="auto"/>
        <w:ind w:left="2409" w:right="-466" w:hanging="360"/>
        <w:jc w:val="both"/>
        <w:rPr>
          <w:rFonts w:ascii="Arial" w:cs="Arial" w:eastAsia="Arial" w:hAnsi="Arial"/>
          <w:color w:val="1c1c1f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przechowywania danych na urządzeniach przenośnych.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Dostawca gwarantuje, że po zakończeniu współpracy: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2"/>
          <w:numId w:val="1"/>
        </w:numPr>
        <w:spacing w:after="0" w:lineRule="auto"/>
        <w:ind w:left="2409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zwróci wszystkie otrzymane dane i dokumenty do Zamawiającego,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2"/>
          <w:numId w:val="1"/>
        </w:numPr>
        <w:spacing w:after="0" w:lineRule="auto"/>
        <w:ind w:left="2409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trwale usunie wszystkie kopie danych z systemów informatycznych i nośników Dostawcy,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2"/>
          <w:numId w:val="1"/>
        </w:numPr>
        <w:spacing w:after="0" w:lineRule="auto"/>
        <w:ind w:left="2409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sporządzi protokół potwierdzający zwrot/usunięcie danych,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2"/>
          <w:numId w:val="1"/>
        </w:numPr>
        <w:spacing w:after="0" w:lineRule="auto"/>
        <w:ind w:left="2409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zachowa tylko te dane, których przechowywanie jest wymagane przez prawo (np. dokumenty księgowe),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2"/>
          <w:numId w:val="1"/>
        </w:numPr>
        <w:spacing w:after="0" w:lineRule="auto"/>
        <w:ind w:left="2409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poinformuje podwykonawców o konieczności usunięcia danych,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2"/>
          <w:numId w:val="1"/>
        </w:numPr>
        <w:spacing w:after="0" w:lineRule="auto"/>
        <w:ind w:left="2409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w przypadku danych osobowych - będzie postępować zgodnie z RODO i umową powierzenia przetwarzania.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1"/>
        <w:numPr>
          <w:ilvl w:val="0"/>
          <w:numId w:val="1"/>
        </w:numPr>
        <w:spacing w:after="0" w:before="0" w:lineRule="auto"/>
        <w:ind w:left="720" w:right="-466" w:hanging="360"/>
        <w:jc w:val="both"/>
        <w:rPr>
          <w:rFonts w:ascii="Arial" w:cs="Arial" w:eastAsia="Arial" w:hAnsi="Arial"/>
          <w:color w:val="2e75b5"/>
        </w:rPr>
      </w:pPr>
      <w:bookmarkStart w:colFirst="0" w:colLast="0" w:name="_heading=h.7e58tq1gv1be" w:id="8"/>
      <w:bookmarkEnd w:id="8"/>
      <w:r w:rsidDel="00000000" w:rsidR="00000000" w:rsidRPr="00000000">
        <w:rPr>
          <w:rFonts w:ascii="Arial" w:cs="Arial" w:eastAsia="Arial" w:hAnsi="Arial"/>
          <w:color w:val="2e75b5"/>
          <w:sz w:val="22"/>
          <w:szCs w:val="22"/>
          <w:rtl w:val="0"/>
        </w:rPr>
        <w:t xml:space="preserve">Zarządzanie incydentami i raportowanie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Dostawca musi mieć wdrożone udokumentowane procedury dotyczące incydentów związanych z bezpieczeństwem informacji. Procedury muszą obejmować: zgłaszanie, analizę, monitorowanie, rozwiązywanie i dokumentowanie incydentów związanych z bezpieczeństwem, a także procesy reagowania i odzyskiwania danych po wystąpieniu incydentu związanego z bezpieczeństwem.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Dostawca poinformuje niezwłocznie Zamawiającego o wszelkich wykrytych zagrożeniach lub o wszelkich incydentach cyberbezpieczeństwa w infrastrukturze własnej (Dostawcy) mogących mieć bezpośredni lub pośredni wpływ na poziom cyberbezpieczeństwa infrastruktury i informacji Zamawiającego. W przypadku wystąpienia takiego incydentu, w celu określenia wpływu incydentu na zasoby Zamawiającego,</w:t>
      </w:r>
      <w:r w:rsidDel="00000000" w:rsidR="00000000" w:rsidRPr="00000000">
        <w:rPr>
          <w:rFonts w:ascii="Arial" w:cs="Arial" w:eastAsia="Arial" w:hAnsi="Arial"/>
          <w:rtl w:val="0"/>
        </w:rPr>
        <w:t xml:space="preserve"> Dostawca udostępni Zamawiającemu niezbędne informacje z logów systemowych, które dotyczą konkretnego incydentu, przy zachowaniu poufności danych innych klientów i własnych systemów bezpieczeństwa. N</w:t>
      </w: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iezwłocznie dostarczy raport opisujący przyczynę, wpływ, zastosowane środki zaradcze i wyciągnięte wnioski.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W celu wymiany informacji dotyczących naruszeń Strony ustalają punkty kontaktowe: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po stronie Zamawiającego: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Operacyjne Centrum Cyberbezpieczeństwa Grupy Veolia w Polsce - VPOL-SOC 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e-mail: </w:t>
      </w:r>
      <w:hyperlink r:id="rId7">
        <w:r w:rsidDel="00000000" w:rsidR="00000000" w:rsidRPr="00000000">
          <w:rPr>
            <w:rFonts w:ascii="Arial" w:cs="Arial" w:eastAsia="Arial" w:hAnsi="Arial"/>
            <w:color w:val="1c1c1f"/>
            <w:rtl w:val="0"/>
          </w:rPr>
          <w:t xml:space="preserve">vpol.soc@veolia.com</w:t>
        </w:r>
      </w:hyperlink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, telefon: +48 725 755 632</w:t>
      </w:r>
      <w:r w:rsidDel="00000000" w:rsidR="00000000" w:rsidRPr="00000000">
        <w:rPr>
          <w:rtl w:val="0"/>
        </w:rPr>
        <w:br w:type="textWrapping"/>
      </w:r>
      <w:hyperlink r:id="rId8">
        <w:r w:rsidDel="00000000" w:rsidR="00000000" w:rsidRPr="00000000">
          <w:rPr>
            <w:rFonts w:ascii="Arial" w:cs="Arial" w:eastAsia="Arial" w:hAnsi="Arial"/>
            <w:i w:val="1"/>
            <w:iCs w:val="1"/>
            <w:color w:val="1155cc"/>
            <w:u w:val="single"/>
            <w:rtl w:val="0"/>
          </w:rPr>
          <w:t xml:space="preserve">https://www.veolia.pl/operacyjne-centrum-cyberbezpieczenstwa</w:t>
        </w:r>
      </w:hyperlink>
      <w:hyperlink r:id="rId9">
        <w:r w:rsidDel="00000000" w:rsidR="00000000" w:rsidRPr="00000000">
          <w:rPr>
            <w:rtl w:val="0"/>
          </w:rPr>
          <w:br w:type="textWrapping"/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Rule="auto"/>
        <w:ind w:left="1440" w:right="-466" w:firstLine="0"/>
        <w:jc w:val="both"/>
        <w:rPr>
          <w:rFonts w:ascii="Arial" w:cs="Arial" w:eastAsia="Arial" w:hAnsi="Arial"/>
          <w:color w:val="1c1c1f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Po stronie Dostawcy:</w:t>
      </w:r>
    </w:p>
    <w:p w:rsidR="00000000" w:rsidDel="00000000" w:rsidP="00000000" w:rsidRDefault="00000000" w:rsidRPr="00000000" w14:paraId="0000004B">
      <w:pPr>
        <w:spacing w:after="0" w:lineRule="auto"/>
        <w:ind w:left="1440" w:right="-466" w:firstLine="0"/>
        <w:jc w:val="both"/>
        <w:rPr>
          <w:rFonts w:ascii="Arial" w:cs="Arial" w:eastAsia="Arial" w:hAnsi="Arial"/>
          <w:color w:val="1c1c1f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…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e-mail: ….., …..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, telefon: 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Style w:val="Heading1"/>
        <w:numPr>
          <w:ilvl w:val="0"/>
          <w:numId w:val="1"/>
        </w:numPr>
        <w:spacing w:after="0" w:before="400" w:lineRule="auto"/>
        <w:ind w:left="720" w:right="-466" w:hanging="360"/>
        <w:jc w:val="both"/>
        <w:rPr>
          <w:rFonts w:ascii="Arial" w:cs="Arial" w:eastAsia="Arial" w:hAnsi="Arial"/>
          <w:color w:val="2e75b5"/>
        </w:rPr>
      </w:pPr>
      <w:bookmarkStart w:colFirst="0" w:colLast="0" w:name="_heading=h.gu5281vr2fad" w:id="9"/>
      <w:bookmarkEnd w:id="9"/>
      <w:r w:rsidDel="00000000" w:rsidR="00000000" w:rsidRPr="00000000">
        <w:rPr>
          <w:rFonts w:ascii="Arial" w:cs="Arial" w:eastAsia="Arial" w:hAnsi="Arial"/>
          <w:color w:val="2e75b5"/>
          <w:sz w:val="22"/>
          <w:szCs w:val="22"/>
          <w:rtl w:val="0"/>
        </w:rPr>
        <w:t xml:space="preserve">Zarządzanie ryzykiem w zasobach dostawcy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Dostawca jest odpowiedzialny za regularną ocenę ryzyka związanego z cyberbezpieczeństwem, w celu zapewnienia odpowiedniej ochrony zasobów Zamawiającego (informacje, technologia, ludzie i obiekty).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Dostawca poinformuje Zamawiającego o wszystkich istotnych zagrożeniach bezpieczeństwa bezpośrednio związanych ze świadczeniem usługi na rzecz Zamawiającego i stworzy plan minimalizacji ryzyka dla wszystkich rozpoznanych zagrożeń.</w:t>
      </w:r>
    </w:p>
    <w:p w:rsidR="00000000" w:rsidDel="00000000" w:rsidP="00000000" w:rsidRDefault="00000000" w:rsidRPr="00000000" w14:paraId="0000004F">
      <w:pPr>
        <w:pStyle w:val="Heading1"/>
        <w:numPr>
          <w:ilvl w:val="0"/>
          <w:numId w:val="1"/>
        </w:numPr>
        <w:spacing w:after="0" w:before="0" w:lineRule="auto"/>
        <w:ind w:left="720" w:right="-466" w:hanging="360"/>
        <w:jc w:val="both"/>
        <w:rPr>
          <w:rFonts w:ascii="Arial" w:cs="Arial" w:eastAsia="Arial" w:hAnsi="Arial"/>
          <w:color w:val="2e75b5"/>
        </w:rPr>
      </w:pPr>
      <w:bookmarkStart w:colFirst="0" w:colLast="0" w:name="_heading=h.ts5dc16eawyg" w:id="10"/>
      <w:bookmarkEnd w:id="10"/>
      <w:r w:rsidDel="00000000" w:rsidR="00000000" w:rsidRPr="00000000">
        <w:rPr>
          <w:rFonts w:ascii="Arial" w:cs="Arial" w:eastAsia="Arial" w:hAnsi="Arial"/>
          <w:color w:val="2e75b5"/>
          <w:sz w:val="22"/>
          <w:szCs w:val="22"/>
          <w:rtl w:val="0"/>
        </w:rPr>
        <w:t xml:space="preserve">Zarządzanie ciągłością działania oraz łańcuchem dostaw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Dostawca zapewnia zachowanie ciągłości działania usług i zasobów Dostawcy, świadczonych i wykorzystywanych na rzecz Zamawiającego poprzez stosowanie planów BCP (Business Continuity Plan), DRP (Disaster Recovery Plan) oraz regularne testy procedur awaryjnych.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  <w:color w:val="1c1c1f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Dostawca zapewnia, że zakres planów ciągłości działania i odzyskiwania danych po awarii obejmuje wszystkie lokalizacje, pracowników, współpracowników i systemy informatyczne wykorzystywane do świadczenia usług na rzecz Zamawiającego.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  <w:color w:val="1c1c1f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Na żądanie, Dostawca dostarcza Zamawiającemu pisemne podsumowanie swoich planów odzyskiwania danych po awarii i planów ciągłości działania.</w:t>
      </w:r>
    </w:p>
    <w:p w:rsidR="00000000" w:rsidDel="00000000" w:rsidP="00000000" w:rsidRDefault="00000000" w:rsidRPr="00000000" w14:paraId="00000053">
      <w:pPr>
        <w:pStyle w:val="Heading1"/>
        <w:numPr>
          <w:ilvl w:val="0"/>
          <w:numId w:val="1"/>
        </w:numPr>
        <w:spacing w:after="0" w:before="0" w:lineRule="auto"/>
        <w:ind w:left="720" w:right="-466" w:hanging="360"/>
        <w:jc w:val="both"/>
        <w:rPr>
          <w:rFonts w:ascii="Arial" w:cs="Arial" w:eastAsia="Arial" w:hAnsi="Arial"/>
          <w:color w:val="2e75b5"/>
        </w:rPr>
      </w:pPr>
      <w:bookmarkStart w:colFirst="0" w:colLast="0" w:name="_heading=h.n25cjxlpgrzm" w:id="11"/>
      <w:bookmarkEnd w:id="11"/>
      <w:r w:rsidDel="00000000" w:rsidR="00000000" w:rsidRPr="00000000">
        <w:rPr>
          <w:rFonts w:ascii="Arial" w:cs="Arial" w:eastAsia="Arial" w:hAnsi="Arial"/>
          <w:color w:val="2e75b5"/>
          <w:sz w:val="22"/>
          <w:szCs w:val="22"/>
          <w:rtl w:val="0"/>
        </w:rPr>
        <w:t xml:space="preserve">Audyty bezpieczeństwa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after="0" w:lineRule="auto"/>
        <w:ind w:left="1440" w:right="-447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 celu weryfikacji wdrożenia i stosowania powyższych wymagań Zamawiający ma prawo do przeprowadzenia audytu, nie częściej niż raz w roku kalendarzowym, w sposób nie zakłócający bieżącej działalności Dostawcy, z zachowaniem poufności informacji Dostawcy i jego innych klientów, po wcześniejszym uzgodnieniu terminu z minimum 30-dniowym wyprzedzeniem. W przypadku wystąpienia uzasadnionego podejrzenia poważnego naruszenia bezpieczeństwa, Zamawiający ma prawo przeprowadzić audyt doraźny w ciągu 48 godzin od zgłoszenia takiej potrzeby Dostawcy.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Termin i zakres audytu każdorazowo zostanie ustalony przez strony Umowy.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Dostawca</w:t>
      </w:r>
      <w:r w:rsidDel="00000000" w:rsidR="00000000" w:rsidRPr="00000000">
        <w:rPr>
          <w:rFonts w:ascii="Arial" w:cs="Arial" w:eastAsia="Arial" w:hAnsi="Arial"/>
          <w:rtl w:val="0"/>
        </w:rPr>
        <w:t xml:space="preserve"> zobowiązuje się do stosowania obustronnie uzgodnionych z Zamawiającym zaleceń poaudytowych.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Na żądanie Zamawiającego, </w:t>
      </w: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Dostawca</w:t>
      </w:r>
      <w:r w:rsidDel="00000000" w:rsidR="00000000" w:rsidRPr="00000000">
        <w:rPr>
          <w:rFonts w:ascii="Arial" w:cs="Arial" w:eastAsia="Arial" w:hAnsi="Arial"/>
          <w:rtl w:val="0"/>
        </w:rPr>
        <w:t xml:space="preserve"> dostarczy raporty kontrolne stanu zabezpieczeń informatycznych stosowanych przez </w:t>
      </w: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Dostawcę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58">
      <w:pPr>
        <w:pStyle w:val="Heading1"/>
        <w:numPr>
          <w:ilvl w:val="0"/>
          <w:numId w:val="1"/>
        </w:numPr>
        <w:spacing w:after="0" w:before="0" w:lineRule="auto"/>
        <w:ind w:left="720" w:right="-466" w:hanging="360"/>
        <w:jc w:val="both"/>
        <w:rPr>
          <w:rFonts w:ascii="Arial" w:cs="Arial" w:eastAsia="Arial" w:hAnsi="Arial"/>
          <w:color w:val="2e75b5"/>
        </w:rPr>
      </w:pPr>
      <w:bookmarkStart w:colFirst="0" w:colLast="0" w:name="_heading=h.9584wuupb43u" w:id="12"/>
      <w:bookmarkEnd w:id="12"/>
      <w:r w:rsidDel="00000000" w:rsidR="00000000" w:rsidRPr="00000000">
        <w:rPr>
          <w:rFonts w:ascii="Arial" w:cs="Arial" w:eastAsia="Arial" w:hAnsi="Arial"/>
          <w:color w:val="2e75b5"/>
          <w:sz w:val="22"/>
          <w:szCs w:val="22"/>
          <w:rtl w:val="0"/>
        </w:rPr>
        <w:t xml:space="preserve">Dostawca ponadto potwierdza, że: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Bierze odpowiedzialność za powierzony mu w użytkowanie sprzęt komputerowy i oprogramowanie Zamawiającego, a w przypadku jego uszkodzenia, zagubienia lub kradzieży jest zobowiązany do pokrycia uzasadnionych kosztów naprawy lub zwrotu równowartości sprzętu z uwzględnieniem normalnego zużycia oraz amortyzacji, z wyłączeniem przypadków działania siły wyższej.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Zobowiązuje się zwrócić wypożyczony sprzęt i oprogramowanie Zamawiającemu najpóźniej w ostatnim dniu obowiązywania Umowy.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after="0" w:lineRule="auto"/>
        <w:ind w:left="1440" w:right="-46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Z chwilą zakończenia Umowy zwróci wszystkie identyfikatory oraz karty dostępu.</w:t>
      </w:r>
    </w:p>
    <w:p w:rsidR="00000000" w:rsidDel="00000000" w:rsidP="00000000" w:rsidRDefault="00000000" w:rsidRPr="00000000" w14:paraId="0000005C">
      <w:pPr>
        <w:spacing w:after="240" w:before="240" w:lineRule="auto"/>
        <w:rPr>
          <w:rFonts w:ascii="Arial" w:cs="Arial" w:eastAsia="Arial" w:hAnsi="Arial"/>
          <w:b w:val="1"/>
          <w:bCs w:val="1"/>
          <w:color w:val="1f1f1f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240" w:before="240" w:lineRule="auto"/>
        <w:rPr>
          <w:rFonts w:ascii="Arial" w:cs="Arial" w:eastAsia="Arial" w:hAnsi="Arial"/>
          <w:b w:val="1"/>
          <w:bCs w:val="1"/>
          <w:color w:val="1f1f1f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0" w:lineRule="auto"/>
        <w:ind w:right="-466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220" w:lineRule="auto"/>
        <w:ind w:right="-466"/>
        <w:jc w:val="both"/>
        <w:rPr>
          <w:rFonts w:ascii="Arial" w:cs="Arial" w:eastAsia="Arial" w:hAnsi="Arial"/>
          <w:color w:val="1c1c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bookmarkStart w:colFirst="0" w:colLast="0" w:name="_heading=h.vbd7t42bws2d" w:id="13"/>
      <w:bookmarkEnd w:id="13"/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6838" w:w="11906" w:orient="portrait"/>
      <w:pgMar w:bottom="1417" w:top="993" w:left="1417" w:right="1417" w:header="0" w:footer="708.661417322834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A">
    <w:pPr>
      <w:spacing w:after="0" w:lineRule="auto"/>
      <w:jc w:val="left"/>
      <w:rPr>
        <w:sz w:val="20"/>
        <w:szCs w:val="20"/>
      </w:rPr>
    </w:pPr>
    <w:r w:rsidDel="00000000" w:rsidR="00000000" w:rsidRPr="00000000">
      <w:rPr>
        <w:sz w:val="16"/>
        <w:szCs w:val="16"/>
        <w:rtl w:val="0"/>
      </w:rPr>
      <w:t xml:space="preserve">WHAL-VLD-00xxx00-PMT-PRO-0024</w:t>
    </w:r>
    <w:r w:rsidDel="00000000" w:rsidR="00000000" w:rsidRPr="00000000">
      <w:rPr>
        <w:sz w:val="20"/>
        <w:szCs w:val="20"/>
        <w:rtl w:val="0"/>
      </w:rPr>
      <w:tab/>
      <w:tab/>
      <w:tab/>
      <w:t xml:space="preserve">STRONA  </w:t>
    </w:r>
    <w:r w:rsidDel="00000000" w:rsidR="00000000" w:rsidRPr="00000000">
      <w:rPr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20"/>
        <w:szCs w:val="20"/>
        <w:rtl w:val="0"/>
      </w:rPr>
      <w:t xml:space="preserve">/</w:t>
    </w:r>
    <w:r w:rsidDel="00000000" w:rsidR="00000000" w:rsidRPr="00000000">
      <w:rPr>
        <w:sz w:val="20"/>
        <w:szCs w:val="20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1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rPr/>
    </w:pPr>
    <w:r w:rsidDel="00000000" w:rsidR="00000000" w:rsidRPr="00000000">
      <w:rPr>
        <w:rtl w:val="0"/>
      </w:rPr>
    </w:r>
  </w:p>
  <w:tbl>
    <w:tblPr>
      <w:tblStyle w:val="Table1"/>
      <w:tblW w:w="10725.0" w:type="dxa"/>
      <w:jc w:val="center"/>
      <w:tblBorders>
        <w:top w:color="783f04" w:space="0" w:sz="8" w:val="single"/>
        <w:left w:color="783f04" w:space="0" w:sz="8" w:val="single"/>
        <w:bottom w:color="783f04" w:space="0" w:sz="8" w:val="single"/>
        <w:right w:color="783f04" w:space="0" w:sz="8" w:val="single"/>
        <w:insideH w:color="783f04" w:space="0" w:sz="8" w:val="single"/>
        <w:insideV w:color="783f04" w:space="0" w:sz="8" w:val="single"/>
      </w:tblBorders>
      <w:tblLayout w:type="fixed"/>
      <w:tblLook w:val="0600"/>
    </w:tblPr>
    <w:tblGrid>
      <w:gridCol w:w="1665"/>
      <w:gridCol w:w="6000"/>
      <w:gridCol w:w="3060"/>
      <w:tblGridChange w:id="0">
        <w:tblGrid>
          <w:gridCol w:w="1665"/>
          <w:gridCol w:w="6000"/>
          <w:gridCol w:w="3060"/>
        </w:tblGrid>
      </w:tblGridChange>
    </w:tblGrid>
    <w:tr>
      <w:trPr>
        <w:cantSplit w:val="0"/>
        <w:trHeight w:val="495" w:hRule="atLeast"/>
        <w:tblHeader w:val="0"/>
      </w:trPr>
      <w:tc>
        <w:tcPr>
          <w:vMerge w:val="restart"/>
          <w:tcBorders>
            <w:top w:color="783f04" w:space="0" w:sz="4" w:val="single"/>
            <w:left w:color="783f04" w:space="0" w:sz="4" w:val="single"/>
            <w:right w:color="783f04" w:space="0" w:sz="4" w:val="single"/>
          </w:tcBorders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62">
          <w:pPr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after="0" w:line="240" w:lineRule="auto"/>
            <w:ind w:left="-141" w:firstLine="0"/>
            <w:jc w:val="center"/>
            <w:rPr/>
          </w:pPr>
          <w:r w:rsidDel="00000000" w:rsidR="00000000" w:rsidRPr="00000000">
            <w:rPr/>
            <w:drawing>
              <wp:inline distB="114300" distT="114300" distL="114300" distR="114300">
                <wp:extent cx="923925" cy="355600"/>
                <wp:effectExtent b="0" l="0" r="0" t="0"/>
                <wp:docPr id="1433618307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3925" cy="3556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783f04" w:space="0" w:sz="4" w:val="single"/>
            <w:left w:color="783f04" w:space="0" w:sz="4" w:val="single"/>
            <w:right w:color="783f04" w:space="0" w:sz="4" w:val="single"/>
          </w:tcBorders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63">
          <w:pPr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after="0" w:line="240" w:lineRule="auto"/>
            <w:ind w:right="-21"/>
            <w:jc w:val="center"/>
            <w:rPr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24"/>
              <w:szCs w:val="24"/>
              <w:rtl w:val="0"/>
            </w:rPr>
            <w:t xml:space="preserve">OPZ.02-INS.01-03.PL KLAUZULA - WYMAGANIA CYBERBEZPIECZEŃSTWA WOBEC DOSTAWCÓW 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783f04" w:space="0" w:sz="4" w:val="single"/>
            <w:left w:color="783f04" w:space="0" w:sz="4" w:val="single"/>
            <w:bottom w:color="783f04" w:space="0" w:sz="4" w:val="single"/>
            <w:right w:color="783f04" w:space="0" w:sz="4" w:val="single"/>
          </w:tcBorders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64">
          <w:pPr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after="0" w:line="240" w:lineRule="auto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16"/>
              <w:szCs w:val="16"/>
              <w:rtl w:val="0"/>
            </w:rPr>
            <w:t xml:space="preserve">DATA OPRACOWANIA: 2025/08/12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20" w:hRule="atLeast"/>
        <w:tblHeader w:val="0"/>
      </w:trPr>
      <w:tc>
        <w:tcPr>
          <w:vMerge w:val="continue"/>
          <w:tcBorders>
            <w:top w:color="783f04" w:space="0" w:sz="4" w:val="single"/>
            <w:left w:color="783f04" w:space="0" w:sz="4" w:val="single"/>
            <w:right w:color="783f04" w:space="0" w:sz="4" w:val="single"/>
          </w:tcBorders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6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783f04" w:space="0" w:sz="4" w:val="single"/>
            <w:left w:color="783f04" w:space="0" w:sz="4" w:val="single"/>
            <w:right w:color="783f04" w:space="0" w:sz="4" w:val="single"/>
          </w:tcBorders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6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783f04" w:space="0" w:sz="4" w:val="single"/>
            <w:left w:color="783f04" w:space="0" w:sz="4" w:val="single"/>
            <w:bottom w:color="783f04" w:space="0" w:sz="4" w:val="single"/>
            <w:right w:color="783f04" w:space="0" w:sz="4" w:val="single"/>
          </w:tcBorders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67">
          <w:pPr>
            <w:tabs>
              <w:tab w:val="center" w:leader="none" w:pos="4536"/>
              <w:tab w:val="right" w:leader="none" w:pos="9072"/>
            </w:tabs>
            <w:spacing w:after="0" w:lineRule="auto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16"/>
              <w:szCs w:val="16"/>
              <w:rtl w:val="0"/>
            </w:rPr>
            <w:t xml:space="preserve">DATA AKTUALIZACJI: -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68">
    <w:pP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9">
    <w:pP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right"/>
      <w:pPr>
        <w:ind w:left="720" w:hanging="360"/>
      </w:pPr>
      <w:rPr>
        <w:sz w:val="22"/>
        <w:szCs w:val="22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409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f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" w:customStyle="1">
    <w:basedOn w:val="TableNormal"/>
    <w:tblPr>
      <w:tblStyleRowBandSize w:val="1"/>
      <w:tblStyleColBandSize w:val="1"/>
    </w:tblPr>
  </w:style>
  <w:style w:type="paragraph" w:styleId="Nagwek">
    <w:name w:val="header"/>
    <w:basedOn w:val="Normalny"/>
    <w:link w:val="NagwekZnak"/>
    <w:uiPriority w:val="99"/>
    <w:semiHidden w:val="1"/>
    <w:unhideWhenUsed w:val="1"/>
    <w:rsid w:val="00C43994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semiHidden w:val="1"/>
    <w:rsid w:val="00C43994"/>
  </w:style>
  <w:style w:type="paragraph" w:styleId="Stopka">
    <w:name w:val="footer"/>
    <w:basedOn w:val="Normalny"/>
    <w:link w:val="StopkaZnak"/>
    <w:uiPriority w:val="99"/>
    <w:semiHidden w:val="1"/>
    <w:unhideWhenUsed w:val="1"/>
    <w:rsid w:val="00C43994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semiHidden w:val="1"/>
    <w:rsid w:val="00C43994"/>
  </w:style>
  <w:style w:type="character" w:styleId="Odwoaniedokomentarza">
    <w:name w:val="annotation reference"/>
    <w:basedOn w:val="Domylnaczcionkaakapitu"/>
    <w:uiPriority w:val="99"/>
    <w:semiHidden w:val="1"/>
    <w:unhideWhenUsed w:val="1"/>
    <w:rsid w:val="005E32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 w:val="1"/>
    <w:rsid w:val="005E3232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5E32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5E3232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5E3232"/>
    <w:rPr>
      <w:b w:val="1"/>
      <w:bCs w:val="1"/>
      <w:sz w:val="20"/>
      <w:szCs w:val="20"/>
    </w:rPr>
  </w:style>
  <w:style w:type="character" w:styleId="Wzmianka">
    <w:name w:val="Mention"/>
    <w:basedOn w:val="Domylnaczcionkaakapitu"/>
    <w:uiPriority w:val="99"/>
    <w:unhideWhenUsed w:val="1"/>
    <w:rsid w:val="0043597B"/>
    <w:rPr>
      <w:color w:val="2b579a"/>
      <w:shd w:color="auto" w:fill="e1dfdd" w:val="clear"/>
    </w:rPr>
  </w:style>
  <w:style w:type="character" w:styleId="Hipercze">
    <w:name w:val="Hyperlink"/>
    <w:basedOn w:val="Domylnaczcionkaakapitu"/>
    <w:uiPriority w:val="99"/>
    <w:unhideWhenUsed w:val="1"/>
    <w:rsid w:val="00653FE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 w:val="1"/>
    <w:unhideWhenUsed w:val="1"/>
    <w:rsid w:val="00653FE7"/>
    <w:rPr>
      <w:color w:val="605e5c"/>
      <w:shd w:color="auto" w:fill="e1dfdd" w:val="clear"/>
    </w:rPr>
  </w:style>
  <w:style w:type="paragraph" w:styleId="Poprawka">
    <w:name w:val="Revision"/>
    <w:hidden w:val="1"/>
    <w:uiPriority w:val="99"/>
    <w:semiHidden w:val="1"/>
    <w:rsid w:val="00653FE7"/>
    <w:pPr>
      <w:spacing w:after="0" w:line="240" w:lineRule="auto"/>
    </w:pPr>
  </w:style>
  <w:style w:type="table" w:styleId="Table1">
    <w:basedOn w:val="TableNormal"/>
    <w:tblPr>
      <w:tblStyleRowBandSize w:val="1"/>
      <w:tblStyleColBandSize w:val="1"/>
    </w:tblPr>
  </w:style>
  <w:style w:type="table" w:styleId="Table1">
    <w:basedOn w:val="TableNormal"/>
    <w:tblPr>
      <w:tblStyleRowBandSize w:val="1"/>
      <w:tblStyleColBandSize w:val="1"/>
    </w:tblPr>
  </w:style>
  <w:style w:type="table" w:styleId="Table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hyperlink" Target="https://www.veolia.pl/operacyjne-centrum-cyberbezpieczenstwa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vpol.soc@veolia.com" TargetMode="External"/><Relationship Id="rId8" Type="http://schemas.openxmlformats.org/officeDocument/2006/relationships/hyperlink" Target="https://www.veolia.pl/operacyjne-centrum-cyberbezpieczenstwa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ntm40iV/PWy3klGENsMu/DAd6A==">CgMxLjAyDmgub2s5ZTMwMjU4bHRiMg5oLmQ5cmJteDlneTRhNzIOaC5ybDFjcWl5NTNoOGwyDmgucHBjeGp0dGtrZTRuMg5oLm9wcHg1YnRkejRsejIOaC4yZWFsZnVrcjNxZm4yDmgub3h0djRuaTlqN3BsMg5oLm11Y2xtYjcxODRwOTIOaC43ZTU4dHExZ3YxYmUyDmguZ3U1MjgxdnIyZmFkMg5oLnRzNWRjMTZlYXd5ZzIOaC5uMjVjanhscGdyem0yDmguOTU4NHd1dXBiNDN1Mg5oLnZiZDd0NDJid3MyZDgAciExNUEwM2x6ZUI5TTk0eWlfMExyZGk0VXpiMkwzRnNwOF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2025-10-07T20:46:00Z</dcterms:created>
  <dc:creator>Magda Pyl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0x010100FF3F156C4D131C4F95AB2FFA0EAE8602</vt:lpwstr>
  </property>
  <property fmtid="{D5CDD505-2E9C-101B-9397-08002B2CF9AE}" pid="3" name="MediaServiceImageTags">
    <vt:lpwstr/>
  </property>
</Properties>
</file>