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B73A0" w14:textId="6525C21E" w:rsidR="00EF391D" w:rsidRPr="00AE47CA" w:rsidRDefault="00000000" w:rsidP="00AE47CA">
      <w:pPr>
        <w:jc w:val="both"/>
        <w:rPr>
          <w:lang w:val="pl-PL"/>
        </w:rPr>
      </w:pPr>
      <w:r w:rsidRPr="00AE47CA">
        <w:rPr>
          <w:lang w:val="pl-PL"/>
        </w:rPr>
        <w:t xml:space="preserve">Projekt </w:t>
      </w:r>
      <w:r w:rsidR="00AE47CA" w:rsidRPr="00AE47CA">
        <w:rPr>
          <w:lang w:val="pl-PL"/>
        </w:rPr>
        <w:t>je</w:t>
      </w:r>
      <w:r w:rsidR="00AE47CA">
        <w:rPr>
          <w:lang w:val="pl-PL"/>
        </w:rPr>
        <w:t>st współfinansowany</w:t>
      </w:r>
      <w:r w:rsidRPr="00AE47CA">
        <w:rPr>
          <w:lang w:val="pl-PL"/>
        </w:rPr>
        <w:t xml:space="preserve"> ze środków programu Fundusze Europejskie dla Mazowsza 2021-2027 (FEMA), Działanie 1.1 Badania, rozwój i innowacje przedsiębiorstw, projekt nr FEMA.01.01-IP.01-04Q9/24.</w:t>
      </w:r>
    </w:p>
    <w:p w14:paraId="7BAF7054" w14:textId="022C7E79" w:rsidR="00EF391D" w:rsidRDefault="00000000" w:rsidP="00174559">
      <w:pPr>
        <w:spacing w:after="160"/>
        <w:jc w:val="right"/>
        <w:rPr>
          <w:lang w:val="pl-PL"/>
        </w:rPr>
      </w:pPr>
      <w:r w:rsidRPr="00AE47CA">
        <w:rPr>
          <w:lang w:val="pl-PL"/>
        </w:rPr>
        <w:t xml:space="preserve">Pniewy, </w:t>
      </w:r>
      <w:r w:rsidR="007170F3">
        <w:rPr>
          <w:lang w:val="pl-PL"/>
        </w:rPr>
        <w:t>26</w:t>
      </w:r>
      <w:r w:rsidRPr="00AE47CA">
        <w:rPr>
          <w:lang w:val="pl-PL"/>
        </w:rPr>
        <w:t>.01.2026</w:t>
      </w:r>
    </w:p>
    <w:p w14:paraId="26C2983A" w14:textId="77777777" w:rsidR="00174559" w:rsidRDefault="00174559" w:rsidP="00174559">
      <w:pPr>
        <w:spacing w:after="160"/>
        <w:jc w:val="right"/>
        <w:rPr>
          <w:lang w:val="pl-PL"/>
        </w:rPr>
      </w:pPr>
    </w:p>
    <w:p w14:paraId="05E8483C" w14:textId="77777777" w:rsidR="00174559" w:rsidRPr="00AE47CA" w:rsidRDefault="00174559" w:rsidP="00174559">
      <w:pPr>
        <w:spacing w:after="40"/>
        <w:jc w:val="both"/>
        <w:rPr>
          <w:lang w:val="pl-PL"/>
        </w:rPr>
      </w:pPr>
      <w:r w:rsidRPr="00AE47CA">
        <w:rPr>
          <w:b/>
          <w:lang w:val="pl-PL"/>
        </w:rPr>
        <w:t xml:space="preserve">Zamawiający: </w:t>
      </w:r>
      <w:proofErr w:type="spellStart"/>
      <w:r w:rsidRPr="00AE47CA">
        <w:rPr>
          <w:b/>
          <w:lang w:val="pl-PL"/>
        </w:rPr>
        <w:t>Topcan</w:t>
      </w:r>
      <w:proofErr w:type="spellEnd"/>
      <w:r w:rsidRPr="00AE47CA">
        <w:rPr>
          <w:b/>
          <w:lang w:val="pl-PL"/>
        </w:rPr>
        <w:t xml:space="preserve"> Sp. z o.o.</w:t>
      </w:r>
    </w:p>
    <w:p w14:paraId="3B27E590" w14:textId="77777777" w:rsidR="00174559" w:rsidRPr="00AE47CA" w:rsidRDefault="00174559" w:rsidP="00174559">
      <w:pPr>
        <w:spacing w:after="40"/>
        <w:jc w:val="both"/>
        <w:rPr>
          <w:lang w:val="pl-PL"/>
        </w:rPr>
      </w:pPr>
      <w:r w:rsidRPr="00AE47CA">
        <w:rPr>
          <w:lang w:val="pl-PL"/>
        </w:rPr>
        <w:t>Adres laboratorium: Karolew 21A, 05-652 Pniewy</w:t>
      </w:r>
    </w:p>
    <w:p w14:paraId="049E8EE5" w14:textId="77777777" w:rsidR="00174559" w:rsidRPr="00AE47CA" w:rsidRDefault="00174559" w:rsidP="00174559">
      <w:pPr>
        <w:spacing w:after="40"/>
        <w:jc w:val="both"/>
        <w:rPr>
          <w:lang w:val="pl-PL"/>
        </w:rPr>
      </w:pPr>
      <w:r w:rsidRPr="00AE47CA">
        <w:rPr>
          <w:lang w:val="pl-PL"/>
        </w:rPr>
        <w:t>NIP: 7011071125</w:t>
      </w:r>
    </w:p>
    <w:p w14:paraId="51DCA8E7" w14:textId="77777777" w:rsidR="00174559" w:rsidRPr="00AE47CA" w:rsidRDefault="00174559" w:rsidP="00174559">
      <w:pPr>
        <w:spacing w:after="40"/>
        <w:jc w:val="both"/>
        <w:rPr>
          <w:lang w:val="pl-PL"/>
        </w:rPr>
      </w:pPr>
      <w:r w:rsidRPr="00AE47CA">
        <w:rPr>
          <w:lang w:val="pl-PL"/>
        </w:rPr>
        <w:t>E-mail do korespondencji: export.org@topcan.pl</w:t>
      </w:r>
    </w:p>
    <w:p w14:paraId="19488B39" w14:textId="77777777" w:rsidR="00174559" w:rsidRPr="00AE47CA" w:rsidRDefault="00174559" w:rsidP="00174559">
      <w:pPr>
        <w:jc w:val="both"/>
        <w:rPr>
          <w:lang w:val="pl-PL"/>
        </w:rPr>
      </w:pPr>
      <w:r w:rsidRPr="00AE47CA">
        <w:rPr>
          <w:lang w:val="pl-PL"/>
        </w:rPr>
        <w:t>Strona WWW: www.topcan.pl</w:t>
      </w:r>
    </w:p>
    <w:p w14:paraId="23EAE88E" w14:textId="77777777" w:rsidR="00174559" w:rsidRPr="00AE47CA" w:rsidRDefault="00174559" w:rsidP="00174559">
      <w:pPr>
        <w:spacing w:after="160"/>
        <w:rPr>
          <w:lang w:val="pl-PL"/>
        </w:rPr>
      </w:pPr>
    </w:p>
    <w:p w14:paraId="147530FE" w14:textId="63C0B5E9" w:rsidR="00EF391D" w:rsidRPr="00AE47CA" w:rsidRDefault="00000000" w:rsidP="00174559">
      <w:pPr>
        <w:jc w:val="center"/>
        <w:rPr>
          <w:lang w:val="pl-PL"/>
        </w:rPr>
      </w:pPr>
      <w:r w:rsidRPr="00AE47CA">
        <w:rPr>
          <w:b/>
          <w:lang w:val="pl-PL"/>
        </w:rPr>
        <w:t>Zapytanie ofertowe nr 0</w:t>
      </w:r>
      <w:r w:rsidR="00AE47CA">
        <w:rPr>
          <w:b/>
          <w:lang w:val="pl-PL"/>
        </w:rPr>
        <w:t>2</w:t>
      </w:r>
      <w:r w:rsidRPr="00AE47CA">
        <w:rPr>
          <w:b/>
          <w:lang w:val="pl-PL"/>
        </w:rPr>
        <w:t>/01/2026</w:t>
      </w:r>
    </w:p>
    <w:p w14:paraId="2D3EC625" w14:textId="32841243" w:rsidR="00EF391D" w:rsidRPr="00AE47CA" w:rsidRDefault="00000000" w:rsidP="00AE47CA">
      <w:pPr>
        <w:spacing w:after="120"/>
        <w:jc w:val="both"/>
        <w:rPr>
          <w:lang w:val="pl-PL"/>
        </w:rPr>
      </w:pPr>
      <w:r w:rsidRPr="00AE47CA">
        <w:rPr>
          <w:lang w:val="pl-PL"/>
        </w:rPr>
        <w:t xml:space="preserve">W związku z realizacją projektu FEMA.01.01-IP.01-04Q9/24 pn. "Opracowanie maszyny, która pozwoli na zintegrowanie procesu nakładania emulsji </w:t>
      </w:r>
      <w:proofErr w:type="spellStart"/>
      <w:r w:rsidRPr="00AE47CA">
        <w:rPr>
          <w:lang w:val="pl-PL"/>
        </w:rPr>
        <w:t>fotokatalitycznej</w:t>
      </w:r>
      <w:proofErr w:type="spellEnd"/>
      <w:r w:rsidRPr="00AE47CA">
        <w:rPr>
          <w:lang w:val="pl-PL"/>
        </w:rPr>
        <w:t xml:space="preserve"> pochłaniającej </w:t>
      </w:r>
      <w:proofErr w:type="spellStart"/>
      <w:r w:rsidRPr="00AE47CA">
        <w:rPr>
          <w:lang w:val="pl-PL"/>
        </w:rPr>
        <w:t>NOx</w:t>
      </w:r>
      <w:proofErr w:type="spellEnd"/>
      <w:r w:rsidRPr="00AE47CA">
        <w:rPr>
          <w:lang w:val="pl-PL"/>
        </w:rPr>
        <w:t xml:space="preserve"> z procesem druku wielkoskalowych materiałów reklamowych"</w:t>
      </w:r>
      <w:r w:rsidR="007E3920">
        <w:rPr>
          <w:lang w:val="pl-PL"/>
        </w:rPr>
        <w:t xml:space="preserve"> („Projekt”)</w:t>
      </w:r>
      <w:r w:rsidRPr="00AE47CA">
        <w:rPr>
          <w:lang w:val="pl-PL"/>
        </w:rPr>
        <w:t>, Zamawiający ogłasza postępowanie ofertowe na przeprowadzenie badań laboratoryjnych</w:t>
      </w:r>
      <w:r w:rsidR="00AE47CA">
        <w:rPr>
          <w:lang w:val="pl-PL"/>
        </w:rPr>
        <w:t xml:space="preserve"> </w:t>
      </w:r>
      <w:r w:rsidRPr="00AE47CA">
        <w:rPr>
          <w:lang w:val="pl-PL"/>
        </w:rPr>
        <w:t>pozwalających</w:t>
      </w:r>
      <w:r w:rsidR="0020085C">
        <w:rPr>
          <w:lang w:val="pl-PL"/>
        </w:rPr>
        <w:t xml:space="preserve"> </w:t>
      </w:r>
      <w:r w:rsidRPr="00AE47CA">
        <w:rPr>
          <w:lang w:val="pl-PL"/>
        </w:rPr>
        <w:t xml:space="preserve">zweryfikować </w:t>
      </w:r>
      <w:r w:rsidR="002917EB">
        <w:rPr>
          <w:lang w:val="pl-PL"/>
        </w:rPr>
        <w:t xml:space="preserve">skuteczność emulsji </w:t>
      </w:r>
      <w:proofErr w:type="spellStart"/>
      <w:r w:rsidR="002917EB">
        <w:rPr>
          <w:lang w:val="pl-PL"/>
        </w:rPr>
        <w:t>fotokatalitycznej</w:t>
      </w:r>
      <w:proofErr w:type="spellEnd"/>
      <w:r w:rsidR="002917EB">
        <w:rPr>
          <w:lang w:val="pl-PL"/>
        </w:rPr>
        <w:t xml:space="preserve"> nakładanej a wydruki wielkoformatowe</w:t>
      </w:r>
      <w:r w:rsidRPr="00AE47CA">
        <w:rPr>
          <w:lang w:val="pl-PL"/>
        </w:rPr>
        <w:t>.</w:t>
      </w:r>
    </w:p>
    <w:p w14:paraId="5C44529B" w14:textId="77777777" w:rsidR="00EF391D" w:rsidRPr="00AE47CA" w:rsidRDefault="00000000" w:rsidP="00AE47CA">
      <w:pPr>
        <w:spacing w:before="200" w:after="120"/>
        <w:jc w:val="both"/>
        <w:rPr>
          <w:lang w:val="pl-PL"/>
        </w:rPr>
      </w:pPr>
      <w:r w:rsidRPr="00AE47CA">
        <w:rPr>
          <w:b/>
          <w:lang w:val="pl-PL"/>
        </w:rPr>
        <w:t>1. Tryb zamówienia</w:t>
      </w:r>
    </w:p>
    <w:p w14:paraId="4421E3FE" w14:textId="77777777" w:rsidR="00EF391D" w:rsidRPr="00AE47CA" w:rsidRDefault="00000000" w:rsidP="00AE47CA">
      <w:pPr>
        <w:spacing w:after="120"/>
        <w:jc w:val="both"/>
        <w:rPr>
          <w:lang w:val="pl-PL"/>
        </w:rPr>
      </w:pPr>
      <w:r w:rsidRPr="00AE47CA">
        <w:rPr>
          <w:lang w:val="pl-PL"/>
        </w:rPr>
        <w:t>Postępowanie prowadzone jest zgodnie z zasadą konkurencyjności określoną w "Wytycznych dotyczących kwalifikowalności wydatków na lata 2021-2027". Do niniejszego zapytania ofertowego nie stosuje się ustawy Prawo Zamówień Publicznych.</w:t>
      </w:r>
    </w:p>
    <w:p w14:paraId="63345F63" w14:textId="77777777" w:rsidR="00EF391D" w:rsidRPr="00AE47CA" w:rsidRDefault="00000000" w:rsidP="00AE47CA">
      <w:pPr>
        <w:jc w:val="both"/>
        <w:rPr>
          <w:lang w:val="pl-PL"/>
        </w:rPr>
      </w:pPr>
      <w:r w:rsidRPr="00AE47CA">
        <w:rPr>
          <w:lang w:val="pl-PL"/>
        </w:rPr>
        <w:t>Zapytanie zostanie opublikowane w Bazie Konkurencyjności (BK2021).</w:t>
      </w:r>
    </w:p>
    <w:p w14:paraId="6B3C4A2E" w14:textId="77777777" w:rsidR="00EF391D" w:rsidRPr="00AE47CA" w:rsidRDefault="00000000" w:rsidP="00AE47CA">
      <w:pPr>
        <w:spacing w:before="200" w:after="120"/>
        <w:jc w:val="both"/>
        <w:rPr>
          <w:lang w:val="pl-PL"/>
        </w:rPr>
      </w:pPr>
      <w:r w:rsidRPr="00AE47CA">
        <w:rPr>
          <w:b/>
          <w:lang w:val="pl-PL"/>
        </w:rPr>
        <w:t>2. Przedmiot zamówienia</w:t>
      </w:r>
    </w:p>
    <w:p w14:paraId="25280D93" w14:textId="77777777" w:rsidR="009F71C7" w:rsidRDefault="009F71C7" w:rsidP="7B883B59">
      <w:pPr>
        <w:spacing w:before="200" w:after="120"/>
        <w:jc w:val="both"/>
        <w:rPr>
          <w:lang w:val="pl-PL"/>
        </w:rPr>
      </w:pPr>
      <w:r w:rsidRPr="009F71C7">
        <w:rPr>
          <w:lang w:val="pl-PL"/>
        </w:rPr>
        <w:t xml:space="preserve">Rodzaj zamówienia: usługa badawcza / usługa laboratoryjna </w:t>
      </w:r>
    </w:p>
    <w:p w14:paraId="11535AD1" w14:textId="77777777" w:rsidR="009F71C7" w:rsidRDefault="009F71C7" w:rsidP="7B883B59">
      <w:pPr>
        <w:spacing w:before="200" w:after="120"/>
        <w:jc w:val="both"/>
        <w:rPr>
          <w:lang w:val="pl-PL"/>
        </w:rPr>
      </w:pPr>
      <w:r w:rsidRPr="009F71C7">
        <w:rPr>
          <w:lang w:val="pl-PL"/>
        </w:rPr>
        <w:t xml:space="preserve">Kod CPV: 71900000 - Usługi laboratoryjne </w:t>
      </w:r>
    </w:p>
    <w:p w14:paraId="6DE9870F" w14:textId="77777777" w:rsidR="003F4B43" w:rsidRDefault="009F71C7" w:rsidP="7B883B59">
      <w:pPr>
        <w:spacing w:before="200" w:after="120"/>
        <w:jc w:val="both"/>
        <w:rPr>
          <w:lang w:val="pl-PL"/>
        </w:rPr>
      </w:pPr>
      <w:r w:rsidRPr="009F71C7">
        <w:rPr>
          <w:lang w:val="pl-PL"/>
        </w:rPr>
        <w:t xml:space="preserve">Przedmiotem zamówienia jest wykonanie badań laboratoryjnych właściwości </w:t>
      </w:r>
      <w:proofErr w:type="spellStart"/>
      <w:r w:rsidRPr="009F71C7">
        <w:rPr>
          <w:lang w:val="pl-PL"/>
        </w:rPr>
        <w:t>fotokatalitycznych</w:t>
      </w:r>
      <w:proofErr w:type="spellEnd"/>
      <w:r w:rsidRPr="009F71C7">
        <w:rPr>
          <w:lang w:val="pl-PL"/>
        </w:rPr>
        <w:t xml:space="preserve"> (parametr </w:t>
      </w:r>
      <w:proofErr w:type="spellStart"/>
      <w:r w:rsidRPr="009F71C7">
        <w:rPr>
          <w:lang w:val="pl-PL"/>
        </w:rPr>
        <w:t>kR</w:t>
      </w:r>
      <w:proofErr w:type="spellEnd"/>
      <w:r w:rsidRPr="009F71C7">
        <w:rPr>
          <w:lang w:val="pl-PL"/>
        </w:rPr>
        <w:t xml:space="preserve">) oraz analizy mikroskopowej stopnia pokrycia powierzchni emulsją </w:t>
      </w:r>
      <w:proofErr w:type="spellStart"/>
      <w:r w:rsidRPr="009F71C7">
        <w:rPr>
          <w:lang w:val="pl-PL"/>
        </w:rPr>
        <w:t>fotokatalityczną</w:t>
      </w:r>
      <w:proofErr w:type="spellEnd"/>
      <w:r w:rsidRPr="009F71C7">
        <w:rPr>
          <w:lang w:val="pl-PL"/>
        </w:rPr>
        <w:t xml:space="preserve"> dla próbek wielkoskalowych materiałów reklamowych z nadrukiem oraz naniesioną emulsją </w:t>
      </w:r>
      <w:proofErr w:type="spellStart"/>
      <w:r w:rsidRPr="009F71C7">
        <w:rPr>
          <w:lang w:val="pl-PL"/>
        </w:rPr>
        <w:t>fotokatalityczną</w:t>
      </w:r>
      <w:proofErr w:type="spellEnd"/>
      <w:r w:rsidRPr="009F71C7">
        <w:rPr>
          <w:lang w:val="pl-PL"/>
        </w:rPr>
        <w:t xml:space="preserve">, przygotowanych w reżimie zbliżonym do procesu rzeczywistego. </w:t>
      </w:r>
    </w:p>
    <w:p w14:paraId="01210174" w14:textId="72857B4D" w:rsidR="00C145B2" w:rsidRDefault="00C145B2" w:rsidP="7B883B59">
      <w:pPr>
        <w:spacing w:before="200" w:after="120"/>
        <w:jc w:val="both"/>
        <w:rPr>
          <w:lang w:val="pl-PL"/>
        </w:rPr>
      </w:pPr>
      <w:r>
        <w:rPr>
          <w:lang w:val="pl-PL"/>
        </w:rPr>
        <w:t xml:space="preserve">Maksymalny </w:t>
      </w:r>
      <w:r w:rsidR="001D347E">
        <w:rPr>
          <w:lang w:val="pl-PL"/>
        </w:rPr>
        <w:t xml:space="preserve">łączny </w:t>
      </w:r>
      <w:r>
        <w:rPr>
          <w:lang w:val="pl-PL"/>
        </w:rPr>
        <w:t xml:space="preserve">budżet Zamawiającego na realizację całego </w:t>
      </w:r>
      <w:r>
        <w:rPr>
          <w:lang w:val="pl-PL"/>
        </w:rPr>
        <w:t>zamówienia:</w:t>
      </w:r>
      <w:r w:rsidR="00A928CD">
        <w:rPr>
          <w:lang w:val="pl-PL"/>
        </w:rPr>
        <w:t xml:space="preserve"> przez 2 jednostki badawcze</w:t>
      </w:r>
      <w:r>
        <w:rPr>
          <w:lang w:val="pl-PL"/>
        </w:rPr>
        <w:t>:</w:t>
      </w:r>
      <w:r w:rsidR="004530CE">
        <w:rPr>
          <w:lang w:val="pl-PL"/>
        </w:rPr>
        <w:t xml:space="preserve"> 93 000 zł netto</w:t>
      </w:r>
    </w:p>
    <w:p w14:paraId="0D28A758" w14:textId="5BDDCC31" w:rsidR="004E55F8" w:rsidRPr="009F71C7" w:rsidRDefault="009F71C7" w:rsidP="004E55F8">
      <w:pPr>
        <w:spacing w:before="200" w:after="120"/>
        <w:jc w:val="both"/>
        <w:rPr>
          <w:b/>
          <w:bCs/>
          <w:lang w:val="pl-PL"/>
        </w:rPr>
      </w:pPr>
      <w:r w:rsidRPr="009F1C6D">
        <w:rPr>
          <w:b/>
          <w:bCs/>
          <w:lang w:val="pl-PL"/>
        </w:rPr>
        <w:lastRenderedPageBreak/>
        <w:t xml:space="preserve">Zakres ilościowy </w:t>
      </w:r>
      <w:r w:rsidR="0025577C" w:rsidRPr="009F1C6D">
        <w:rPr>
          <w:b/>
          <w:bCs/>
          <w:lang w:val="pl-PL"/>
        </w:rPr>
        <w:t xml:space="preserve">całego </w:t>
      </w:r>
      <w:r w:rsidRPr="009F1C6D">
        <w:rPr>
          <w:b/>
          <w:bCs/>
          <w:lang w:val="pl-PL"/>
        </w:rPr>
        <w:t>zamówienia:</w:t>
      </w:r>
      <w:r w:rsidRPr="009F71C7">
        <w:rPr>
          <w:lang w:val="pl-PL"/>
        </w:rPr>
        <w:t xml:space="preserve"> </w:t>
      </w:r>
      <w:r w:rsidR="004E55F8" w:rsidRPr="009F71C7">
        <w:rPr>
          <w:lang w:val="pl-PL"/>
        </w:rPr>
        <w:t xml:space="preserve">wynosi </w:t>
      </w:r>
      <w:r w:rsidR="009F1C6D">
        <w:rPr>
          <w:lang w:val="pl-PL"/>
        </w:rPr>
        <w:t>2</w:t>
      </w:r>
      <w:r w:rsidR="004E55F8" w:rsidRPr="009F71C7">
        <w:rPr>
          <w:lang w:val="pl-PL"/>
        </w:rPr>
        <w:t xml:space="preserve">0 </w:t>
      </w:r>
      <w:r w:rsidR="004E55F8">
        <w:rPr>
          <w:lang w:val="pl-PL"/>
        </w:rPr>
        <w:t xml:space="preserve">kompletów </w:t>
      </w:r>
      <w:r w:rsidR="004E55F8" w:rsidRPr="009F71C7">
        <w:rPr>
          <w:lang w:val="pl-PL"/>
        </w:rPr>
        <w:t>badań</w:t>
      </w:r>
      <w:r w:rsidR="004E55F8">
        <w:rPr>
          <w:lang w:val="pl-PL"/>
        </w:rPr>
        <w:t xml:space="preserve"> (</w:t>
      </w:r>
      <w:r w:rsidR="00D16148">
        <w:rPr>
          <w:lang w:val="pl-PL"/>
        </w:rPr>
        <w:t xml:space="preserve">tj. </w:t>
      </w:r>
      <w:r w:rsidR="004E55F8">
        <w:rPr>
          <w:lang w:val="pl-PL"/>
        </w:rPr>
        <w:t>analiza mikroskopowa i badanie skuteczności oczyszczania powietrza</w:t>
      </w:r>
      <w:r w:rsidR="00D16148">
        <w:rPr>
          <w:lang w:val="pl-PL"/>
        </w:rPr>
        <w:t>)</w:t>
      </w:r>
      <w:r w:rsidR="004E55F8">
        <w:rPr>
          <w:lang w:val="pl-PL"/>
        </w:rPr>
        <w:t xml:space="preserve"> </w:t>
      </w:r>
      <w:r w:rsidR="003414D2" w:rsidRPr="00CF037C">
        <w:rPr>
          <w:lang w:val="pl-PL"/>
        </w:rPr>
        <w:t xml:space="preserve">dla próbek wielkoskalowych materiałów reklamowych </w:t>
      </w:r>
      <w:r w:rsidR="009A4E29">
        <w:rPr>
          <w:lang w:val="pl-PL"/>
        </w:rPr>
        <w:t xml:space="preserve">pokrytych emulsją </w:t>
      </w:r>
      <w:proofErr w:type="spellStart"/>
      <w:r w:rsidR="009A4E29">
        <w:rPr>
          <w:lang w:val="pl-PL"/>
        </w:rPr>
        <w:t>fotokatalityczną</w:t>
      </w:r>
      <w:proofErr w:type="spellEnd"/>
      <w:r w:rsidR="009A4E29">
        <w:rPr>
          <w:lang w:val="pl-PL"/>
        </w:rPr>
        <w:t xml:space="preserve"> </w:t>
      </w:r>
      <w:r w:rsidR="004E55F8">
        <w:rPr>
          <w:lang w:val="pl-PL"/>
        </w:rPr>
        <w:t>wykonane: przed rozpoczęciem ekspozycji (badanie referencyjne), po 15 dniach ekspozycji i po 30 dniach ekspozycji</w:t>
      </w:r>
      <w:r w:rsidR="004E55F8" w:rsidRPr="009F71C7">
        <w:rPr>
          <w:lang w:val="pl-PL"/>
        </w:rPr>
        <w:t xml:space="preserve">. </w:t>
      </w:r>
    </w:p>
    <w:p w14:paraId="7C75D563" w14:textId="5E1D9EAB" w:rsidR="0025577C" w:rsidRPr="009F1C6D" w:rsidRDefault="009F71C7" w:rsidP="7B883B59">
      <w:pPr>
        <w:spacing w:before="200" w:after="120"/>
        <w:jc w:val="both"/>
        <w:rPr>
          <w:u w:val="single"/>
          <w:lang w:val="pl-PL"/>
        </w:rPr>
      </w:pPr>
      <w:r w:rsidRPr="009F1C6D">
        <w:rPr>
          <w:u w:val="single"/>
          <w:lang w:val="pl-PL"/>
        </w:rPr>
        <w:t>Zamawiający przewiduje wybór dwóch Wykonawców (dwóch jednostek badawczych) i zawarcie dwóch umów</w:t>
      </w:r>
      <w:r w:rsidR="00975246">
        <w:rPr>
          <w:u w:val="single"/>
          <w:lang w:val="pl-PL"/>
        </w:rPr>
        <w:t>.</w:t>
      </w:r>
      <w:r w:rsidRPr="009F1C6D">
        <w:rPr>
          <w:u w:val="single"/>
          <w:lang w:val="pl-PL"/>
        </w:rPr>
        <w:t xml:space="preserve"> </w:t>
      </w:r>
    </w:p>
    <w:p w14:paraId="7032C08B" w14:textId="668EEEB3" w:rsidR="7B883B59" w:rsidRDefault="0025577C" w:rsidP="7B883B59">
      <w:pPr>
        <w:spacing w:before="200" w:after="120"/>
        <w:jc w:val="both"/>
        <w:rPr>
          <w:lang w:val="pl-PL"/>
        </w:rPr>
      </w:pPr>
      <w:r w:rsidRPr="0025577C">
        <w:rPr>
          <w:b/>
          <w:bCs/>
          <w:lang w:val="pl-PL"/>
        </w:rPr>
        <w:t>Z</w:t>
      </w:r>
      <w:r w:rsidR="009F71C7" w:rsidRPr="0025577C">
        <w:rPr>
          <w:b/>
          <w:bCs/>
          <w:lang w:val="pl-PL"/>
        </w:rPr>
        <w:t xml:space="preserve">akres </w:t>
      </w:r>
      <w:r w:rsidRPr="0025577C">
        <w:rPr>
          <w:b/>
          <w:bCs/>
          <w:lang w:val="pl-PL"/>
        </w:rPr>
        <w:t xml:space="preserve">ilościowy </w:t>
      </w:r>
      <w:r w:rsidR="009F71C7" w:rsidRPr="0025577C">
        <w:rPr>
          <w:b/>
          <w:bCs/>
          <w:lang w:val="pl-PL"/>
        </w:rPr>
        <w:t>dla jednego Wykonawcy</w:t>
      </w:r>
      <w:r w:rsidR="00975246">
        <w:rPr>
          <w:lang w:val="pl-PL"/>
        </w:rPr>
        <w:t>:</w:t>
      </w:r>
      <w:r w:rsidR="008B2BEA">
        <w:rPr>
          <w:lang w:val="pl-PL"/>
        </w:rPr>
        <w:t xml:space="preserve"> 10 kompletów badań </w:t>
      </w:r>
      <w:r w:rsidR="00035863">
        <w:rPr>
          <w:lang w:val="pl-PL"/>
        </w:rPr>
        <w:t xml:space="preserve">(tj. analiza mikroskopowa i badanie skuteczności oczyszczania powietrza) </w:t>
      </w:r>
      <w:r w:rsidR="00035863" w:rsidRPr="00CF037C">
        <w:rPr>
          <w:lang w:val="pl-PL"/>
        </w:rPr>
        <w:t xml:space="preserve">dla próbek wielkoskalowych materiałów reklamowych </w:t>
      </w:r>
      <w:r w:rsidR="00035863">
        <w:rPr>
          <w:lang w:val="pl-PL"/>
        </w:rPr>
        <w:t xml:space="preserve">pokrytych emulsją </w:t>
      </w:r>
      <w:proofErr w:type="spellStart"/>
      <w:r w:rsidR="00035863">
        <w:rPr>
          <w:lang w:val="pl-PL"/>
        </w:rPr>
        <w:t>fotokatalityczną</w:t>
      </w:r>
      <w:proofErr w:type="spellEnd"/>
      <w:r w:rsidR="00035863">
        <w:rPr>
          <w:lang w:val="pl-PL"/>
        </w:rPr>
        <w:t xml:space="preserve"> </w:t>
      </w:r>
      <w:r w:rsidR="008B2BEA">
        <w:rPr>
          <w:lang w:val="pl-PL"/>
        </w:rPr>
        <w:t>tj.</w:t>
      </w:r>
    </w:p>
    <w:p w14:paraId="574157C2" w14:textId="77777777" w:rsidR="00975246" w:rsidRPr="004C68C7" w:rsidRDefault="00975246" w:rsidP="00975246">
      <w:pPr>
        <w:pStyle w:val="Akapitzlist"/>
        <w:numPr>
          <w:ilvl w:val="0"/>
          <w:numId w:val="10"/>
        </w:numPr>
        <w:ind w:left="178" w:hanging="178"/>
        <w:jc w:val="both"/>
        <w:rPr>
          <w:lang w:val="pl-PL"/>
        </w:rPr>
      </w:pPr>
      <w:r w:rsidRPr="004C68C7">
        <w:rPr>
          <w:lang w:val="pl-PL"/>
        </w:rPr>
        <w:t xml:space="preserve">Dzień „0”: </w:t>
      </w:r>
    </w:p>
    <w:p w14:paraId="00D08D04" w14:textId="77777777" w:rsidR="00975246" w:rsidRPr="004C68C7" w:rsidRDefault="00975246" w:rsidP="00975246">
      <w:pPr>
        <w:jc w:val="both"/>
        <w:rPr>
          <w:lang w:val="pl-PL"/>
        </w:rPr>
      </w:pPr>
      <w:r w:rsidRPr="004C68C7">
        <w:rPr>
          <w:lang w:val="pl-PL"/>
        </w:rPr>
        <w:t xml:space="preserve">10 próbek - badanie właściwości </w:t>
      </w:r>
      <w:proofErr w:type="spellStart"/>
      <w:r w:rsidRPr="004C68C7">
        <w:rPr>
          <w:lang w:val="pl-PL"/>
        </w:rPr>
        <w:t>fotokatalitycznych</w:t>
      </w:r>
      <w:proofErr w:type="spellEnd"/>
      <w:r w:rsidRPr="004C68C7">
        <w:rPr>
          <w:lang w:val="pl-PL"/>
        </w:rPr>
        <w:t xml:space="preserve"> (</w:t>
      </w:r>
      <w:proofErr w:type="spellStart"/>
      <w:r w:rsidRPr="004C68C7">
        <w:rPr>
          <w:lang w:val="pl-PL"/>
        </w:rPr>
        <w:t>kR</w:t>
      </w:r>
      <w:proofErr w:type="spellEnd"/>
      <w:r w:rsidRPr="004C68C7">
        <w:rPr>
          <w:lang w:val="pl-PL"/>
        </w:rPr>
        <w:t>),</w:t>
      </w:r>
    </w:p>
    <w:p w14:paraId="34CC082A" w14:textId="0D503436" w:rsidR="00975246" w:rsidRPr="004C68C7" w:rsidRDefault="00975246" w:rsidP="00975246">
      <w:pPr>
        <w:jc w:val="both"/>
        <w:rPr>
          <w:lang w:val="pl-PL"/>
        </w:rPr>
      </w:pPr>
      <w:r w:rsidRPr="004C68C7">
        <w:rPr>
          <w:lang w:val="pl-PL"/>
        </w:rPr>
        <w:t xml:space="preserve">10 próbek – analiza mikroskopowa stopnia pokrycia powierzchni emulsją </w:t>
      </w:r>
      <w:proofErr w:type="spellStart"/>
      <w:r w:rsidRPr="004C68C7">
        <w:rPr>
          <w:lang w:val="pl-PL"/>
        </w:rPr>
        <w:t>fotokatalityczną</w:t>
      </w:r>
      <w:proofErr w:type="spellEnd"/>
    </w:p>
    <w:p w14:paraId="1262030F" w14:textId="77777777" w:rsidR="00975246" w:rsidRPr="004C68C7" w:rsidRDefault="00975246" w:rsidP="00975246">
      <w:pPr>
        <w:pStyle w:val="Akapitzlist"/>
        <w:numPr>
          <w:ilvl w:val="0"/>
          <w:numId w:val="10"/>
        </w:numPr>
        <w:ind w:left="178" w:hanging="178"/>
        <w:jc w:val="both"/>
        <w:rPr>
          <w:lang w:val="pl-PL"/>
        </w:rPr>
      </w:pPr>
      <w:r w:rsidRPr="004C68C7">
        <w:rPr>
          <w:lang w:val="pl-PL"/>
        </w:rPr>
        <w:t xml:space="preserve"> 15 dni po ekspozycji:</w:t>
      </w:r>
    </w:p>
    <w:p w14:paraId="551C1B15" w14:textId="77777777" w:rsidR="00975246" w:rsidRPr="004C68C7" w:rsidRDefault="00975246" w:rsidP="00975246">
      <w:pPr>
        <w:jc w:val="both"/>
        <w:rPr>
          <w:lang w:val="pl-PL"/>
        </w:rPr>
      </w:pPr>
      <w:r w:rsidRPr="004C68C7">
        <w:rPr>
          <w:lang w:val="pl-PL"/>
        </w:rPr>
        <w:t xml:space="preserve">5 próbek - badanie właściwości </w:t>
      </w:r>
      <w:proofErr w:type="spellStart"/>
      <w:r w:rsidRPr="004C68C7">
        <w:rPr>
          <w:lang w:val="pl-PL"/>
        </w:rPr>
        <w:t>fotokatalitycznych</w:t>
      </w:r>
      <w:proofErr w:type="spellEnd"/>
      <w:r w:rsidRPr="004C68C7">
        <w:rPr>
          <w:lang w:val="pl-PL"/>
        </w:rPr>
        <w:t xml:space="preserve"> (</w:t>
      </w:r>
      <w:proofErr w:type="spellStart"/>
      <w:r w:rsidRPr="004C68C7">
        <w:rPr>
          <w:lang w:val="pl-PL"/>
        </w:rPr>
        <w:t>kR</w:t>
      </w:r>
      <w:proofErr w:type="spellEnd"/>
      <w:r w:rsidRPr="004C68C7">
        <w:rPr>
          <w:lang w:val="pl-PL"/>
        </w:rPr>
        <w:t>),</w:t>
      </w:r>
    </w:p>
    <w:p w14:paraId="09FC09EC" w14:textId="74324A57" w:rsidR="00975246" w:rsidRPr="004C68C7" w:rsidRDefault="00975246" w:rsidP="00975246">
      <w:pPr>
        <w:jc w:val="both"/>
        <w:rPr>
          <w:lang w:val="pl-PL"/>
        </w:rPr>
      </w:pPr>
      <w:r w:rsidRPr="004C68C7">
        <w:rPr>
          <w:lang w:val="pl-PL"/>
        </w:rPr>
        <w:t xml:space="preserve">5 próbek – analiza mikroskopowa stopnia pokrycia powierzchni emulsją </w:t>
      </w:r>
      <w:proofErr w:type="spellStart"/>
      <w:r w:rsidRPr="004C68C7">
        <w:rPr>
          <w:lang w:val="pl-PL"/>
        </w:rPr>
        <w:t>fotokatalityczną</w:t>
      </w:r>
      <w:proofErr w:type="spellEnd"/>
    </w:p>
    <w:p w14:paraId="251553AA" w14:textId="77777777" w:rsidR="00975246" w:rsidRPr="004C68C7" w:rsidRDefault="00975246" w:rsidP="00975246">
      <w:pPr>
        <w:pStyle w:val="Akapitzlist"/>
        <w:numPr>
          <w:ilvl w:val="0"/>
          <w:numId w:val="10"/>
        </w:numPr>
        <w:ind w:left="178" w:hanging="178"/>
        <w:jc w:val="both"/>
        <w:rPr>
          <w:lang w:val="pl-PL"/>
        </w:rPr>
      </w:pPr>
      <w:r w:rsidRPr="004C68C7">
        <w:rPr>
          <w:lang w:val="pl-PL"/>
        </w:rPr>
        <w:t xml:space="preserve"> 30 dni po ekspozycji:</w:t>
      </w:r>
    </w:p>
    <w:p w14:paraId="3E376BB0" w14:textId="77777777" w:rsidR="00975246" w:rsidRPr="004C68C7" w:rsidRDefault="00975246" w:rsidP="00975246">
      <w:pPr>
        <w:jc w:val="both"/>
        <w:rPr>
          <w:lang w:val="pl-PL"/>
        </w:rPr>
      </w:pPr>
      <w:r w:rsidRPr="004C68C7">
        <w:rPr>
          <w:lang w:val="pl-PL"/>
        </w:rPr>
        <w:t xml:space="preserve">5 próbek - badanie właściwości </w:t>
      </w:r>
      <w:proofErr w:type="spellStart"/>
      <w:r w:rsidRPr="004C68C7">
        <w:rPr>
          <w:lang w:val="pl-PL"/>
        </w:rPr>
        <w:t>fotokatalitycznych</w:t>
      </w:r>
      <w:proofErr w:type="spellEnd"/>
      <w:r w:rsidRPr="004C68C7">
        <w:rPr>
          <w:lang w:val="pl-PL"/>
        </w:rPr>
        <w:t xml:space="preserve"> (</w:t>
      </w:r>
      <w:proofErr w:type="spellStart"/>
      <w:r w:rsidRPr="004C68C7">
        <w:rPr>
          <w:lang w:val="pl-PL"/>
        </w:rPr>
        <w:t>kR</w:t>
      </w:r>
      <w:proofErr w:type="spellEnd"/>
      <w:r w:rsidRPr="004C68C7">
        <w:rPr>
          <w:lang w:val="pl-PL"/>
        </w:rPr>
        <w:t>),</w:t>
      </w:r>
    </w:p>
    <w:p w14:paraId="5527158D" w14:textId="49FF773B" w:rsidR="00975246" w:rsidRPr="00035863" w:rsidRDefault="00975246" w:rsidP="00035863">
      <w:pPr>
        <w:jc w:val="both"/>
        <w:rPr>
          <w:lang w:val="pl-PL"/>
        </w:rPr>
      </w:pPr>
      <w:r w:rsidRPr="004C68C7">
        <w:rPr>
          <w:lang w:val="pl-PL"/>
        </w:rPr>
        <w:t xml:space="preserve">5 próbek – analiza mikroskopowa stopnia pokrycia powierzchni emulsją </w:t>
      </w:r>
      <w:proofErr w:type="spellStart"/>
      <w:r w:rsidRPr="004C68C7">
        <w:rPr>
          <w:lang w:val="pl-PL"/>
        </w:rPr>
        <w:t>fotokatalityczną</w:t>
      </w:r>
      <w:proofErr w:type="spellEnd"/>
    </w:p>
    <w:p w14:paraId="7616E93A" w14:textId="77777777" w:rsidR="00EF391D" w:rsidRPr="00AE47CA" w:rsidRDefault="00000000" w:rsidP="00AE47CA">
      <w:pPr>
        <w:spacing w:before="200" w:after="120"/>
        <w:jc w:val="both"/>
        <w:rPr>
          <w:lang w:val="pl-PL"/>
        </w:rPr>
      </w:pPr>
      <w:r w:rsidRPr="00AE47CA">
        <w:rPr>
          <w:b/>
          <w:lang w:val="pl-PL"/>
        </w:rPr>
        <w:t>3. Opis zamówienia (OPZ)</w:t>
      </w:r>
    </w:p>
    <w:p w14:paraId="67FE50BA" w14:textId="45EE302C" w:rsidR="00EF391D" w:rsidRPr="00AE47CA" w:rsidRDefault="00000000" w:rsidP="00AE47CA">
      <w:pPr>
        <w:spacing w:before="40" w:after="80"/>
        <w:jc w:val="both"/>
        <w:rPr>
          <w:lang w:val="pl-PL"/>
        </w:rPr>
      </w:pPr>
      <w:r w:rsidRPr="00AE47CA">
        <w:rPr>
          <w:b/>
          <w:lang w:val="pl-PL"/>
        </w:rPr>
        <w:t xml:space="preserve">3.1. Cel </w:t>
      </w:r>
      <w:r w:rsidR="00185A3E">
        <w:rPr>
          <w:b/>
          <w:lang w:val="pl-PL"/>
        </w:rPr>
        <w:t>zamówienia</w:t>
      </w:r>
    </w:p>
    <w:p w14:paraId="226BD6C0" w14:textId="606DB08E" w:rsidR="00EF391D" w:rsidRDefault="00000000" w:rsidP="00AE47CA">
      <w:pPr>
        <w:spacing w:after="120"/>
        <w:jc w:val="both"/>
        <w:rPr>
          <w:lang w:val="pl-PL"/>
        </w:rPr>
      </w:pPr>
      <w:r w:rsidRPr="006D34DA">
        <w:rPr>
          <w:lang w:val="pl-PL"/>
        </w:rPr>
        <w:t xml:space="preserve">Celem zamówienia jest weryfikacja osiągnięcia kamienia milowego </w:t>
      </w:r>
      <w:r w:rsidR="00C758B1" w:rsidRPr="006D34DA">
        <w:rPr>
          <w:lang w:val="pl-PL"/>
        </w:rPr>
        <w:t xml:space="preserve">założonego w </w:t>
      </w:r>
      <w:r w:rsidR="00D93132">
        <w:rPr>
          <w:lang w:val="pl-PL"/>
        </w:rPr>
        <w:t>P</w:t>
      </w:r>
      <w:r w:rsidRPr="006D34DA">
        <w:rPr>
          <w:lang w:val="pl-PL"/>
        </w:rPr>
        <w:t>rojek</w:t>
      </w:r>
      <w:r w:rsidR="00C758B1" w:rsidRPr="006D34DA">
        <w:rPr>
          <w:lang w:val="pl-PL"/>
        </w:rPr>
        <w:t>cie</w:t>
      </w:r>
      <w:r w:rsidRPr="006D34DA">
        <w:rPr>
          <w:lang w:val="pl-PL"/>
        </w:rPr>
        <w:t xml:space="preserve"> polegającego na uzyskaniu stopnia</w:t>
      </w:r>
      <w:r w:rsidRPr="00AE47CA">
        <w:rPr>
          <w:lang w:val="pl-PL"/>
        </w:rPr>
        <w:t xml:space="preserve"> pokrycia emulsją </w:t>
      </w:r>
      <w:proofErr w:type="spellStart"/>
      <w:r w:rsidRPr="00AE47CA">
        <w:rPr>
          <w:lang w:val="pl-PL"/>
        </w:rPr>
        <w:t>fotokatalityczną</w:t>
      </w:r>
      <w:proofErr w:type="spellEnd"/>
      <w:r w:rsidRPr="00AE47CA">
        <w:rPr>
          <w:lang w:val="pl-PL"/>
        </w:rPr>
        <w:t xml:space="preserve"> na wszystkich rodzajach materiału bazowego i z użyciem 3 rodzajów nadruku, z zachowaniem właściwości pochłaniania </w:t>
      </w:r>
      <w:proofErr w:type="spellStart"/>
      <w:r w:rsidRPr="00AE47CA">
        <w:rPr>
          <w:lang w:val="pl-PL"/>
        </w:rPr>
        <w:t>NOx</w:t>
      </w:r>
      <w:proofErr w:type="spellEnd"/>
      <w:r w:rsidRPr="00AE47CA">
        <w:rPr>
          <w:lang w:val="pl-PL"/>
        </w:rPr>
        <w:t xml:space="preserve"> na poziomie wartości wskaźnika </w:t>
      </w:r>
      <w:proofErr w:type="spellStart"/>
      <w:r w:rsidRPr="00AE47CA">
        <w:rPr>
          <w:lang w:val="pl-PL"/>
        </w:rPr>
        <w:t>kR</w:t>
      </w:r>
      <w:proofErr w:type="spellEnd"/>
      <w:r w:rsidRPr="00AE47CA">
        <w:rPr>
          <w:lang w:val="pl-PL"/>
        </w:rPr>
        <w:t xml:space="preserve"> &gt;= 19 m/h po ekspozycji próbek w warunkach rzeczywistych (atmosferycznych) przez 30 dni.</w:t>
      </w:r>
    </w:p>
    <w:p w14:paraId="53374413" w14:textId="77777777" w:rsidR="0010791B" w:rsidRPr="0010791B" w:rsidRDefault="0010791B" w:rsidP="0010791B">
      <w:pPr>
        <w:spacing w:after="120"/>
        <w:jc w:val="both"/>
        <w:rPr>
          <w:lang w:val="pl-PL"/>
        </w:rPr>
      </w:pPr>
      <w:r w:rsidRPr="0010791B">
        <w:rPr>
          <w:lang w:val="pl-PL"/>
        </w:rPr>
        <w:t xml:space="preserve">Próbki będą wykonane na wszystkich rodzajach materiału bazowego: </w:t>
      </w:r>
    </w:p>
    <w:p w14:paraId="0A3B652C" w14:textId="364B9D54" w:rsidR="0010791B" w:rsidRPr="0010791B" w:rsidRDefault="0010791B" w:rsidP="0010791B">
      <w:pPr>
        <w:spacing w:after="120"/>
        <w:jc w:val="both"/>
        <w:rPr>
          <w:lang w:val="pl-PL"/>
        </w:rPr>
      </w:pPr>
      <w:r w:rsidRPr="0010791B">
        <w:rPr>
          <w:lang w:val="pl-PL"/>
        </w:rPr>
        <w:t xml:space="preserve">- materiał </w:t>
      </w:r>
      <w:proofErr w:type="spellStart"/>
      <w:r w:rsidRPr="0010791B">
        <w:rPr>
          <w:lang w:val="pl-PL"/>
        </w:rPr>
        <w:t>banerowy</w:t>
      </w:r>
      <w:proofErr w:type="spellEnd"/>
      <w:r w:rsidRPr="0010791B">
        <w:rPr>
          <w:lang w:val="pl-PL"/>
        </w:rPr>
        <w:t xml:space="preserve"> lity </w:t>
      </w:r>
    </w:p>
    <w:p w14:paraId="23A4FB6A" w14:textId="0DDF5D7C" w:rsidR="0010791B" w:rsidRPr="0010791B" w:rsidRDefault="0010791B" w:rsidP="0010791B">
      <w:pPr>
        <w:spacing w:after="120"/>
        <w:jc w:val="both"/>
        <w:rPr>
          <w:lang w:val="pl-PL"/>
        </w:rPr>
      </w:pPr>
      <w:r w:rsidRPr="0010791B">
        <w:rPr>
          <w:lang w:val="pl-PL"/>
        </w:rPr>
        <w:t xml:space="preserve">- materiał </w:t>
      </w:r>
      <w:proofErr w:type="spellStart"/>
      <w:r w:rsidRPr="0010791B">
        <w:rPr>
          <w:lang w:val="pl-PL"/>
        </w:rPr>
        <w:t>mesh</w:t>
      </w:r>
      <w:proofErr w:type="spellEnd"/>
      <w:r w:rsidRPr="0010791B">
        <w:rPr>
          <w:lang w:val="pl-PL"/>
        </w:rPr>
        <w:t xml:space="preserve"> (siatka fasadowa) </w:t>
      </w:r>
    </w:p>
    <w:p w14:paraId="0B4DCE5A" w14:textId="4D1219D7" w:rsidR="0010791B" w:rsidRPr="0010791B" w:rsidRDefault="0010791B" w:rsidP="0010791B">
      <w:pPr>
        <w:spacing w:after="120"/>
        <w:jc w:val="both"/>
        <w:rPr>
          <w:lang w:val="pl-PL"/>
        </w:rPr>
      </w:pPr>
      <w:r w:rsidRPr="0010791B">
        <w:rPr>
          <w:lang w:val="pl-PL"/>
        </w:rPr>
        <w:t>przy użyciu 3 rodzajów tuszy:</w:t>
      </w:r>
    </w:p>
    <w:p w14:paraId="42F2190E" w14:textId="4A7624FF" w:rsidR="0010791B" w:rsidRPr="0010791B" w:rsidRDefault="0010791B" w:rsidP="0010791B">
      <w:pPr>
        <w:spacing w:after="120"/>
        <w:jc w:val="both"/>
        <w:rPr>
          <w:lang w:val="pl-PL"/>
        </w:rPr>
      </w:pPr>
      <w:r w:rsidRPr="0010791B">
        <w:rPr>
          <w:lang w:val="pl-PL"/>
        </w:rPr>
        <w:t xml:space="preserve">- tusze drukarskie </w:t>
      </w:r>
      <w:proofErr w:type="spellStart"/>
      <w:r w:rsidRPr="0010791B">
        <w:rPr>
          <w:lang w:val="pl-PL"/>
        </w:rPr>
        <w:t>latex</w:t>
      </w:r>
      <w:proofErr w:type="spellEnd"/>
    </w:p>
    <w:p w14:paraId="5CB7F711" w14:textId="317626F3" w:rsidR="0010791B" w:rsidRPr="0010791B" w:rsidRDefault="0010791B" w:rsidP="0010791B">
      <w:pPr>
        <w:spacing w:after="120"/>
        <w:jc w:val="both"/>
        <w:rPr>
          <w:lang w:val="pl-PL"/>
        </w:rPr>
      </w:pPr>
      <w:r w:rsidRPr="0010791B">
        <w:rPr>
          <w:lang w:val="pl-PL"/>
        </w:rPr>
        <w:t>- tusze drukarskie UV</w:t>
      </w:r>
    </w:p>
    <w:p w14:paraId="73CE6282" w14:textId="1CC109BA" w:rsidR="0010791B" w:rsidRPr="00AE47CA" w:rsidRDefault="0010791B" w:rsidP="0010791B">
      <w:pPr>
        <w:spacing w:after="120"/>
        <w:jc w:val="both"/>
        <w:rPr>
          <w:lang w:val="pl-PL"/>
        </w:rPr>
      </w:pPr>
      <w:r w:rsidRPr="0010791B">
        <w:rPr>
          <w:lang w:val="pl-PL"/>
        </w:rPr>
        <w:lastRenderedPageBreak/>
        <w:t>- tusze na bazie wody do sublimacji</w:t>
      </w:r>
    </w:p>
    <w:p w14:paraId="1E1A3BCC" w14:textId="6A04AD74" w:rsidR="00EF391D" w:rsidRPr="00230167" w:rsidRDefault="00000000" w:rsidP="00AE47CA">
      <w:pPr>
        <w:spacing w:before="40" w:after="80"/>
        <w:jc w:val="both"/>
        <w:rPr>
          <w:lang w:val="pl-PL"/>
        </w:rPr>
      </w:pPr>
      <w:r w:rsidRPr="00230167">
        <w:rPr>
          <w:b/>
          <w:lang w:val="pl-PL"/>
        </w:rPr>
        <w:t xml:space="preserve">3.2. Sposób </w:t>
      </w:r>
      <w:r w:rsidR="00230167" w:rsidRPr="00230167">
        <w:rPr>
          <w:b/>
          <w:lang w:val="pl-PL"/>
        </w:rPr>
        <w:t>realizacji zamówienia</w:t>
      </w:r>
    </w:p>
    <w:p w14:paraId="01DDACDE" w14:textId="77777777" w:rsidR="00C21A10" w:rsidRDefault="00000000" w:rsidP="00AE47CA">
      <w:pPr>
        <w:spacing w:after="120"/>
        <w:jc w:val="both"/>
        <w:rPr>
          <w:lang w:val="pl-PL"/>
        </w:rPr>
      </w:pPr>
      <w:r w:rsidRPr="00AE47CA">
        <w:rPr>
          <w:lang w:val="pl-PL"/>
        </w:rPr>
        <w:t xml:space="preserve">Zamawiający wybierze 2 zewnętrzne jednostki badawcze do przeprowadzenia badań. Zamawiający przygotuje łącznie </w:t>
      </w:r>
      <w:r w:rsidR="008476CE">
        <w:rPr>
          <w:lang w:val="pl-PL"/>
        </w:rPr>
        <w:t>4</w:t>
      </w:r>
      <w:r w:rsidRPr="00AE47CA">
        <w:rPr>
          <w:lang w:val="pl-PL"/>
        </w:rPr>
        <w:t xml:space="preserve">0 próbek, które zostaną umieszczone w terenie zurbanizowanym (po </w:t>
      </w:r>
      <w:r w:rsidR="000557D8">
        <w:rPr>
          <w:lang w:val="pl-PL"/>
        </w:rPr>
        <w:t>2</w:t>
      </w:r>
      <w:r w:rsidRPr="00AE47CA">
        <w:rPr>
          <w:lang w:val="pl-PL"/>
        </w:rPr>
        <w:t xml:space="preserve">0 próbek przeznaczonych dla każdej jednostki badawczej). Weryfikacja parametru efektu </w:t>
      </w:r>
      <w:proofErr w:type="spellStart"/>
      <w:r w:rsidRPr="00AE47CA">
        <w:rPr>
          <w:lang w:val="pl-PL"/>
        </w:rPr>
        <w:t>fotokatalitycznego</w:t>
      </w:r>
      <w:proofErr w:type="spellEnd"/>
      <w:r w:rsidR="001C0B57">
        <w:rPr>
          <w:lang w:val="pl-PL"/>
        </w:rPr>
        <w:t xml:space="preserve"> i analiza mikroskopowa</w:t>
      </w:r>
      <w:r w:rsidRPr="00AE47CA">
        <w:rPr>
          <w:lang w:val="pl-PL"/>
        </w:rPr>
        <w:t xml:space="preserve"> będzie wykonywana </w:t>
      </w:r>
      <w:r w:rsidR="00C21A10">
        <w:rPr>
          <w:lang w:val="pl-PL"/>
        </w:rPr>
        <w:t>według schematu:</w:t>
      </w:r>
    </w:p>
    <w:p w14:paraId="303D7181" w14:textId="7A32D2F8" w:rsidR="00C21A10" w:rsidRPr="00394464" w:rsidRDefault="00394464" w:rsidP="00394464">
      <w:pPr>
        <w:jc w:val="both"/>
        <w:rPr>
          <w:lang w:val="pl-PL"/>
        </w:rPr>
      </w:pPr>
      <w:r>
        <w:rPr>
          <w:lang w:val="pl-PL"/>
        </w:rPr>
        <w:t xml:space="preserve">- </w:t>
      </w:r>
      <w:r w:rsidR="00C21A10" w:rsidRPr="00394464">
        <w:rPr>
          <w:lang w:val="pl-PL"/>
        </w:rPr>
        <w:t xml:space="preserve">Dzień „0”: </w:t>
      </w:r>
    </w:p>
    <w:p w14:paraId="403825D3" w14:textId="77777777" w:rsidR="00C21A10" w:rsidRPr="004C68C7" w:rsidRDefault="00C21A10" w:rsidP="00C21A10">
      <w:pPr>
        <w:jc w:val="both"/>
        <w:rPr>
          <w:lang w:val="pl-PL"/>
        </w:rPr>
      </w:pPr>
      <w:r w:rsidRPr="004C68C7">
        <w:rPr>
          <w:lang w:val="pl-PL"/>
        </w:rPr>
        <w:t xml:space="preserve">10 próbek - badanie właściwości </w:t>
      </w:r>
      <w:proofErr w:type="spellStart"/>
      <w:r w:rsidRPr="004C68C7">
        <w:rPr>
          <w:lang w:val="pl-PL"/>
        </w:rPr>
        <w:t>fotokatalitycznych</w:t>
      </w:r>
      <w:proofErr w:type="spellEnd"/>
      <w:r w:rsidRPr="004C68C7">
        <w:rPr>
          <w:lang w:val="pl-PL"/>
        </w:rPr>
        <w:t xml:space="preserve"> (</w:t>
      </w:r>
      <w:proofErr w:type="spellStart"/>
      <w:r w:rsidRPr="004C68C7">
        <w:rPr>
          <w:lang w:val="pl-PL"/>
        </w:rPr>
        <w:t>kR</w:t>
      </w:r>
      <w:proofErr w:type="spellEnd"/>
      <w:r w:rsidRPr="004C68C7">
        <w:rPr>
          <w:lang w:val="pl-PL"/>
        </w:rPr>
        <w:t>),</w:t>
      </w:r>
    </w:p>
    <w:p w14:paraId="450FF6D4" w14:textId="77777777" w:rsidR="00C21A10" w:rsidRPr="004C68C7" w:rsidRDefault="00C21A10" w:rsidP="00C21A10">
      <w:pPr>
        <w:jc w:val="both"/>
        <w:rPr>
          <w:lang w:val="pl-PL"/>
        </w:rPr>
      </w:pPr>
      <w:r w:rsidRPr="004C68C7">
        <w:rPr>
          <w:lang w:val="pl-PL"/>
        </w:rPr>
        <w:t xml:space="preserve">10 próbek – analiza mikroskopowa stopnia pokrycia powierzchni emulsją </w:t>
      </w:r>
      <w:proofErr w:type="spellStart"/>
      <w:r w:rsidRPr="004C68C7">
        <w:rPr>
          <w:lang w:val="pl-PL"/>
        </w:rPr>
        <w:t>fotokatalityczną</w:t>
      </w:r>
      <w:proofErr w:type="spellEnd"/>
    </w:p>
    <w:p w14:paraId="107D016E" w14:textId="3629EF95" w:rsidR="00C21A10" w:rsidRPr="00394464" w:rsidRDefault="00394464" w:rsidP="00394464">
      <w:pPr>
        <w:jc w:val="both"/>
        <w:rPr>
          <w:lang w:val="pl-PL"/>
        </w:rPr>
      </w:pPr>
      <w:r>
        <w:rPr>
          <w:lang w:val="pl-PL"/>
        </w:rPr>
        <w:t xml:space="preserve">- </w:t>
      </w:r>
      <w:r w:rsidR="00C21A10" w:rsidRPr="00394464">
        <w:rPr>
          <w:lang w:val="pl-PL"/>
        </w:rPr>
        <w:t xml:space="preserve">15 dni po </w:t>
      </w:r>
      <w:r>
        <w:rPr>
          <w:lang w:val="pl-PL"/>
        </w:rPr>
        <w:t xml:space="preserve">rozpoczęciu </w:t>
      </w:r>
      <w:r w:rsidR="00C21A10" w:rsidRPr="00394464">
        <w:rPr>
          <w:lang w:val="pl-PL"/>
        </w:rPr>
        <w:t>ekspozycji:</w:t>
      </w:r>
    </w:p>
    <w:p w14:paraId="26AC8758" w14:textId="77777777" w:rsidR="00C21A10" w:rsidRPr="004C68C7" w:rsidRDefault="00C21A10" w:rsidP="00C21A10">
      <w:pPr>
        <w:jc w:val="both"/>
        <w:rPr>
          <w:lang w:val="pl-PL"/>
        </w:rPr>
      </w:pPr>
      <w:r w:rsidRPr="004C68C7">
        <w:rPr>
          <w:lang w:val="pl-PL"/>
        </w:rPr>
        <w:t xml:space="preserve">5 próbek - badanie właściwości </w:t>
      </w:r>
      <w:proofErr w:type="spellStart"/>
      <w:r w:rsidRPr="004C68C7">
        <w:rPr>
          <w:lang w:val="pl-PL"/>
        </w:rPr>
        <w:t>fotokatalitycznych</w:t>
      </w:r>
      <w:proofErr w:type="spellEnd"/>
      <w:r w:rsidRPr="004C68C7">
        <w:rPr>
          <w:lang w:val="pl-PL"/>
        </w:rPr>
        <w:t xml:space="preserve"> (</w:t>
      </w:r>
      <w:proofErr w:type="spellStart"/>
      <w:r w:rsidRPr="004C68C7">
        <w:rPr>
          <w:lang w:val="pl-PL"/>
        </w:rPr>
        <w:t>kR</w:t>
      </w:r>
      <w:proofErr w:type="spellEnd"/>
      <w:r w:rsidRPr="004C68C7">
        <w:rPr>
          <w:lang w:val="pl-PL"/>
        </w:rPr>
        <w:t>),</w:t>
      </w:r>
    </w:p>
    <w:p w14:paraId="43D0FF27" w14:textId="3F350612" w:rsidR="00C21A10" w:rsidRPr="00394464" w:rsidRDefault="00C21A10" w:rsidP="00394464">
      <w:pPr>
        <w:pStyle w:val="Akapitzlist"/>
        <w:numPr>
          <w:ilvl w:val="0"/>
          <w:numId w:val="11"/>
        </w:numPr>
        <w:ind w:left="142" w:hanging="142"/>
        <w:jc w:val="both"/>
        <w:rPr>
          <w:lang w:val="pl-PL"/>
        </w:rPr>
      </w:pPr>
      <w:r w:rsidRPr="00394464">
        <w:rPr>
          <w:lang w:val="pl-PL"/>
        </w:rPr>
        <w:t xml:space="preserve">próbek – analiza mikroskopowa stopnia pokrycia powierzchni emulsją </w:t>
      </w:r>
      <w:proofErr w:type="spellStart"/>
      <w:r w:rsidRPr="00394464">
        <w:rPr>
          <w:lang w:val="pl-PL"/>
        </w:rPr>
        <w:t>fotokatalityczną</w:t>
      </w:r>
      <w:proofErr w:type="spellEnd"/>
    </w:p>
    <w:p w14:paraId="43D9603F" w14:textId="5E143F45" w:rsidR="00C21A10" w:rsidRPr="00394464" w:rsidRDefault="00394464" w:rsidP="00394464">
      <w:pPr>
        <w:jc w:val="both"/>
        <w:rPr>
          <w:lang w:val="pl-PL"/>
        </w:rPr>
      </w:pPr>
      <w:r>
        <w:rPr>
          <w:lang w:val="pl-PL"/>
        </w:rPr>
        <w:t xml:space="preserve">- </w:t>
      </w:r>
      <w:r w:rsidR="00C21A10" w:rsidRPr="00394464">
        <w:rPr>
          <w:lang w:val="pl-PL"/>
        </w:rPr>
        <w:t xml:space="preserve">30 dni po </w:t>
      </w:r>
      <w:r>
        <w:rPr>
          <w:lang w:val="pl-PL"/>
        </w:rPr>
        <w:t xml:space="preserve">rozpoczęciu </w:t>
      </w:r>
      <w:r w:rsidR="00C21A10" w:rsidRPr="00394464">
        <w:rPr>
          <w:lang w:val="pl-PL"/>
        </w:rPr>
        <w:t>ekspozycji:</w:t>
      </w:r>
    </w:p>
    <w:p w14:paraId="054E2C01" w14:textId="77777777" w:rsidR="00C21A10" w:rsidRPr="004C68C7" w:rsidRDefault="00C21A10" w:rsidP="00C21A10">
      <w:pPr>
        <w:jc w:val="both"/>
        <w:rPr>
          <w:lang w:val="pl-PL"/>
        </w:rPr>
      </w:pPr>
      <w:r w:rsidRPr="004C68C7">
        <w:rPr>
          <w:lang w:val="pl-PL"/>
        </w:rPr>
        <w:t xml:space="preserve">5 próbek - badanie właściwości </w:t>
      </w:r>
      <w:proofErr w:type="spellStart"/>
      <w:r w:rsidRPr="004C68C7">
        <w:rPr>
          <w:lang w:val="pl-PL"/>
        </w:rPr>
        <w:t>fotokatalitycznych</w:t>
      </w:r>
      <w:proofErr w:type="spellEnd"/>
      <w:r w:rsidRPr="004C68C7">
        <w:rPr>
          <w:lang w:val="pl-PL"/>
        </w:rPr>
        <w:t xml:space="preserve"> (</w:t>
      </w:r>
      <w:proofErr w:type="spellStart"/>
      <w:r w:rsidRPr="004C68C7">
        <w:rPr>
          <w:lang w:val="pl-PL"/>
        </w:rPr>
        <w:t>kR</w:t>
      </w:r>
      <w:proofErr w:type="spellEnd"/>
      <w:r w:rsidRPr="004C68C7">
        <w:rPr>
          <w:lang w:val="pl-PL"/>
        </w:rPr>
        <w:t>),</w:t>
      </w:r>
    </w:p>
    <w:p w14:paraId="22FAD10C" w14:textId="77777777" w:rsidR="00C21A10" w:rsidRDefault="00C21A10" w:rsidP="00C21A10">
      <w:pPr>
        <w:jc w:val="both"/>
        <w:rPr>
          <w:lang w:val="pl-PL"/>
        </w:rPr>
      </w:pPr>
      <w:r w:rsidRPr="004C68C7">
        <w:rPr>
          <w:lang w:val="pl-PL"/>
        </w:rPr>
        <w:t xml:space="preserve">5 próbek – analiza mikroskopowa stopnia pokrycia powierzchni emulsją </w:t>
      </w:r>
      <w:proofErr w:type="spellStart"/>
      <w:r w:rsidRPr="004C68C7">
        <w:rPr>
          <w:lang w:val="pl-PL"/>
        </w:rPr>
        <w:t>fotokatalityczną</w:t>
      </w:r>
      <w:proofErr w:type="spellEnd"/>
    </w:p>
    <w:p w14:paraId="47C76F65" w14:textId="54D9379B" w:rsidR="00DE0CD9" w:rsidRPr="00035863" w:rsidRDefault="0085714E" w:rsidP="00C21A10">
      <w:pPr>
        <w:jc w:val="both"/>
        <w:rPr>
          <w:lang w:val="pl-PL"/>
        </w:rPr>
      </w:pPr>
      <w:r>
        <w:rPr>
          <w:lang w:val="pl-PL"/>
        </w:rPr>
        <w:t>p</w:t>
      </w:r>
      <w:r w:rsidR="00DE0CD9">
        <w:rPr>
          <w:lang w:val="pl-PL"/>
        </w:rPr>
        <w:t>rzez każdą jednostkę badawczą.</w:t>
      </w:r>
    </w:p>
    <w:p w14:paraId="6F74D5DA" w14:textId="23ABD701" w:rsidR="00EF391D" w:rsidRPr="00AE47CA" w:rsidRDefault="00000000" w:rsidP="00AE47CA">
      <w:pPr>
        <w:spacing w:after="120"/>
        <w:jc w:val="both"/>
        <w:rPr>
          <w:lang w:val="pl-PL"/>
        </w:rPr>
      </w:pPr>
      <w:r w:rsidRPr="00AE47CA">
        <w:rPr>
          <w:lang w:val="pl-PL"/>
        </w:rPr>
        <w:t>Niniejsze zamówienie obejmuje wykonanie badań dla próbek przekazanych Wykonawc</w:t>
      </w:r>
      <w:r w:rsidR="003A42A0">
        <w:rPr>
          <w:lang w:val="pl-PL"/>
        </w:rPr>
        <w:t xml:space="preserve">om </w:t>
      </w:r>
      <w:r w:rsidR="00BE08BF">
        <w:rPr>
          <w:lang w:val="pl-PL"/>
        </w:rPr>
        <w:t>niezwłocznie po zawarciu umowy na realizację zamówienia</w:t>
      </w:r>
      <w:r w:rsidRPr="00AE47CA">
        <w:rPr>
          <w:lang w:val="pl-PL"/>
        </w:rPr>
        <w:t>.</w:t>
      </w:r>
    </w:p>
    <w:p w14:paraId="6DD2BC40" w14:textId="77777777" w:rsidR="00EF391D" w:rsidRPr="00AE47CA" w:rsidRDefault="00000000" w:rsidP="00AE47CA">
      <w:pPr>
        <w:spacing w:before="40" w:after="80"/>
        <w:jc w:val="both"/>
        <w:rPr>
          <w:lang w:val="pl-PL"/>
        </w:rPr>
      </w:pPr>
      <w:r w:rsidRPr="00AE47CA">
        <w:rPr>
          <w:b/>
          <w:lang w:val="pl-PL"/>
        </w:rPr>
        <w:t>3.3. Metodyka i normy</w:t>
      </w:r>
    </w:p>
    <w:p w14:paraId="488CCC60" w14:textId="6650ABB3" w:rsidR="00EF391D" w:rsidRPr="00AE47CA" w:rsidRDefault="00000000" w:rsidP="00AE47CA">
      <w:pPr>
        <w:spacing w:after="120"/>
        <w:jc w:val="both"/>
        <w:rPr>
          <w:lang w:val="pl-PL"/>
        </w:rPr>
      </w:pPr>
      <w:r w:rsidRPr="006D34DA">
        <w:rPr>
          <w:lang w:val="pl-PL"/>
        </w:rPr>
        <w:t xml:space="preserve">Badania </w:t>
      </w:r>
      <w:r w:rsidR="00485802" w:rsidRPr="006D34DA">
        <w:rPr>
          <w:lang w:val="pl-PL"/>
        </w:rPr>
        <w:t>muszą być</w:t>
      </w:r>
      <w:r w:rsidRPr="006D34DA">
        <w:rPr>
          <w:lang w:val="pl-PL"/>
        </w:rPr>
        <w:t xml:space="preserve"> prowadzone zgodnie z normami</w:t>
      </w:r>
      <w:r w:rsidRPr="00AE47CA">
        <w:rPr>
          <w:lang w:val="pl-PL"/>
        </w:rPr>
        <w:t>: TS CEN/TS 16980-1:2017 oraz EN 16980-1:2021 - BARVE. Wykonawca zobowiązany jest do jednoznacznego wskazania w raporcie zastosowanej procedury badawczej (wraz z odniesieniem do właściwych punktów norm) oraz warunków przeprowadzania pomiarów.</w:t>
      </w:r>
    </w:p>
    <w:p w14:paraId="5C8952B8" w14:textId="77777777" w:rsidR="00EF391D" w:rsidRDefault="00000000" w:rsidP="00AE47CA">
      <w:pPr>
        <w:spacing w:before="40" w:after="80"/>
        <w:jc w:val="both"/>
      </w:pPr>
      <w:r>
        <w:rPr>
          <w:b/>
        </w:rPr>
        <w:t xml:space="preserve">3.4. </w:t>
      </w:r>
      <w:proofErr w:type="spellStart"/>
      <w:r>
        <w:rPr>
          <w:b/>
        </w:rPr>
        <w:t>Wymagania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szczegółowe</w:t>
      </w:r>
      <w:proofErr w:type="spellEnd"/>
    </w:p>
    <w:p w14:paraId="1B374080" w14:textId="53A8A236" w:rsidR="00EF391D" w:rsidRPr="00AE47CA" w:rsidRDefault="00000000" w:rsidP="00AE47CA">
      <w:pPr>
        <w:pStyle w:val="Listapunktowana"/>
        <w:spacing w:after="40"/>
        <w:jc w:val="both"/>
        <w:rPr>
          <w:lang w:val="pl-PL"/>
        </w:rPr>
      </w:pPr>
      <w:r w:rsidRPr="00AE47CA">
        <w:rPr>
          <w:lang w:val="pl-PL"/>
        </w:rPr>
        <w:t xml:space="preserve">Wykonanie analizy mikroskopowej powierzchni (stopień i jednorodność pokrycia emulsją) dla </w:t>
      </w:r>
      <w:r w:rsidR="0033081E">
        <w:rPr>
          <w:lang w:val="pl-PL"/>
        </w:rPr>
        <w:t>20 próbek</w:t>
      </w:r>
      <w:r w:rsidR="00E06375">
        <w:rPr>
          <w:lang w:val="pl-PL"/>
        </w:rPr>
        <w:t xml:space="preserve"> (10 próbek prz</w:t>
      </w:r>
      <w:r w:rsidR="00E237EC">
        <w:rPr>
          <w:lang w:val="pl-PL"/>
        </w:rPr>
        <w:t>ebadanych przez jednego</w:t>
      </w:r>
      <w:r w:rsidR="00E06375">
        <w:rPr>
          <w:lang w:val="pl-PL"/>
        </w:rPr>
        <w:t xml:space="preserve"> Wykonawcę)</w:t>
      </w:r>
      <w:r w:rsidRPr="00AE47CA">
        <w:rPr>
          <w:lang w:val="pl-PL"/>
        </w:rPr>
        <w:t>.</w:t>
      </w:r>
    </w:p>
    <w:p w14:paraId="31B2384E" w14:textId="29DA3628" w:rsidR="00EF391D" w:rsidRPr="00AE47CA" w:rsidRDefault="00000000" w:rsidP="00AE47CA">
      <w:pPr>
        <w:pStyle w:val="Listapunktowana"/>
        <w:spacing w:after="40"/>
        <w:jc w:val="both"/>
        <w:rPr>
          <w:lang w:val="pl-PL"/>
        </w:rPr>
      </w:pPr>
      <w:r w:rsidRPr="00AE47CA">
        <w:rPr>
          <w:lang w:val="pl-PL"/>
        </w:rPr>
        <w:t xml:space="preserve">Wykonanie pomiaru parametru </w:t>
      </w:r>
      <w:proofErr w:type="spellStart"/>
      <w:r w:rsidRPr="00AE47CA">
        <w:rPr>
          <w:lang w:val="pl-PL"/>
        </w:rPr>
        <w:t>kR</w:t>
      </w:r>
      <w:proofErr w:type="spellEnd"/>
      <w:r w:rsidRPr="00AE47CA">
        <w:rPr>
          <w:lang w:val="pl-PL"/>
        </w:rPr>
        <w:t xml:space="preserve"> dla </w:t>
      </w:r>
      <w:r w:rsidR="00E06375">
        <w:rPr>
          <w:lang w:val="pl-PL"/>
        </w:rPr>
        <w:t>20</w:t>
      </w:r>
      <w:r w:rsidRPr="00AE47CA">
        <w:rPr>
          <w:lang w:val="pl-PL"/>
        </w:rPr>
        <w:t xml:space="preserve"> prób</w:t>
      </w:r>
      <w:r w:rsidR="00E06375">
        <w:rPr>
          <w:lang w:val="pl-PL"/>
        </w:rPr>
        <w:t xml:space="preserve">ek (10 próbek </w:t>
      </w:r>
      <w:r w:rsidR="00E237EC">
        <w:rPr>
          <w:lang w:val="pl-PL"/>
        </w:rPr>
        <w:t xml:space="preserve">przebadanych </w:t>
      </w:r>
      <w:r w:rsidR="00E06375">
        <w:rPr>
          <w:lang w:val="pl-PL"/>
        </w:rPr>
        <w:t>przez 1 Wykonawcę)</w:t>
      </w:r>
      <w:r w:rsidRPr="00AE47CA">
        <w:rPr>
          <w:lang w:val="pl-PL"/>
        </w:rPr>
        <w:t>, wraz z przedstawieniem wyników w formie tabelarycznej.</w:t>
      </w:r>
    </w:p>
    <w:p w14:paraId="1D26DEF5" w14:textId="77777777" w:rsidR="00EF391D" w:rsidRPr="00AE47CA" w:rsidRDefault="00000000" w:rsidP="00AE47CA">
      <w:pPr>
        <w:pStyle w:val="Listapunktowana"/>
        <w:spacing w:after="40"/>
        <w:jc w:val="both"/>
        <w:rPr>
          <w:lang w:val="pl-PL"/>
        </w:rPr>
      </w:pPr>
      <w:r w:rsidRPr="00AE47CA">
        <w:rPr>
          <w:lang w:val="pl-PL"/>
        </w:rPr>
        <w:t>Oznaczenie i śledzenie próbek (ID nadane przez Zamawiającego) oraz zapewnienie identyfikowalności wyników.</w:t>
      </w:r>
    </w:p>
    <w:p w14:paraId="77440F94" w14:textId="7C81C57B" w:rsidR="00EF391D" w:rsidRPr="00AE47CA" w:rsidRDefault="00000000" w:rsidP="00AE47CA">
      <w:pPr>
        <w:pStyle w:val="Listapunktowana"/>
        <w:spacing w:after="40"/>
        <w:jc w:val="both"/>
        <w:rPr>
          <w:lang w:val="pl-PL"/>
        </w:rPr>
      </w:pPr>
      <w:r w:rsidRPr="00AE47CA">
        <w:rPr>
          <w:lang w:val="pl-PL"/>
        </w:rPr>
        <w:t>Sporządzenie raportu dla każdej transzy (</w:t>
      </w:r>
      <w:r w:rsidR="00D849D3">
        <w:rPr>
          <w:lang w:val="pl-PL"/>
        </w:rPr>
        <w:t>10</w:t>
      </w:r>
      <w:r w:rsidRPr="00AE47CA">
        <w:rPr>
          <w:lang w:val="pl-PL"/>
        </w:rPr>
        <w:t xml:space="preserve"> próbek) oraz raportu zbiorczego (</w:t>
      </w:r>
      <w:r w:rsidR="00D849D3">
        <w:rPr>
          <w:lang w:val="pl-PL"/>
        </w:rPr>
        <w:t>2</w:t>
      </w:r>
      <w:r w:rsidRPr="00AE47CA">
        <w:rPr>
          <w:lang w:val="pl-PL"/>
        </w:rPr>
        <w:t>0 próbek)</w:t>
      </w:r>
      <w:r w:rsidR="00D849D3">
        <w:rPr>
          <w:lang w:val="pl-PL"/>
        </w:rPr>
        <w:t xml:space="preserve"> przez każdego Wykonawcę</w:t>
      </w:r>
      <w:r w:rsidRPr="00AE47CA">
        <w:rPr>
          <w:lang w:val="pl-PL"/>
        </w:rPr>
        <w:t>.</w:t>
      </w:r>
    </w:p>
    <w:p w14:paraId="091691E9" w14:textId="77777777" w:rsidR="00EF391D" w:rsidRDefault="00000000" w:rsidP="00AE47CA">
      <w:pPr>
        <w:pStyle w:val="Listapunktowana"/>
        <w:spacing w:after="40"/>
        <w:jc w:val="both"/>
      </w:pPr>
      <w:r w:rsidRPr="00AE47CA">
        <w:rPr>
          <w:lang w:val="pl-PL"/>
        </w:rPr>
        <w:lastRenderedPageBreak/>
        <w:t xml:space="preserve">Raporty w języku polskim (format PDF) oraz przekazanie danych pomiarowych w pliku edytowalnym (np. </w:t>
      </w:r>
      <w:r>
        <w:t>XLSX/CSV).</w:t>
      </w:r>
    </w:p>
    <w:p w14:paraId="41E855E9" w14:textId="77777777" w:rsidR="00EF391D" w:rsidRPr="00AE47CA" w:rsidRDefault="00000000" w:rsidP="00AE47CA">
      <w:pPr>
        <w:pStyle w:val="Listapunktowana"/>
        <w:spacing w:after="40"/>
        <w:jc w:val="both"/>
        <w:rPr>
          <w:lang w:val="pl-PL"/>
        </w:rPr>
      </w:pPr>
      <w:r w:rsidRPr="00AE47CA">
        <w:rPr>
          <w:lang w:val="pl-PL"/>
        </w:rPr>
        <w:t>Wskazanie niepewności/odchylenia pomiaru (o ile wynika to z przyjętej metody).</w:t>
      </w:r>
    </w:p>
    <w:p w14:paraId="0934A350" w14:textId="77777777" w:rsidR="00EF391D" w:rsidRPr="00AE47CA" w:rsidRDefault="00000000" w:rsidP="00AE47CA">
      <w:pPr>
        <w:jc w:val="both"/>
        <w:rPr>
          <w:lang w:val="pl-PL"/>
        </w:rPr>
      </w:pPr>
      <w:r w:rsidRPr="00AE47CA">
        <w:rPr>
          <w:lang w:val="pl-PL"/>
        </w:rPr>
        <w:t xml:space="preserve">Zamawiający zapewni próbki z nadrukiem i emulsją </w:t>
      </w:r>
      <w:proofErr w:type="spellStart"/>
      <w:r w:rsidRPr="00AE47CA">
        <w:rPr>
          <w:lang w:val="pl-PL"/>
        </w:rPr>
        <w:t>fotokatalityczną</w:t>
      </w:r>
      <w:proofErr w:type="spellEnd"/>
      <w:r w:rsidRPr="00AE47CA">
        <w:rPr>
          <w:lang w:val="pl-PL"/>
        </w:rPr>
        <w:t>. Wykonawca może wskazać wymagania co do minimalnych wymiarów/formatu próbek niezbędnych do wykonania badań zgodnie z normami.</w:t>
      </w:r>
    </w:p>
    <w:p w14:paraId="4369FB78" w14:textId="77777777" w:rsidR="00EF391D" w:rsidRPr="00D3547B" w:rsidRDefault="00000000" w:rsidP="00AE47CA">
      <w:pPr>
        <w:spacing w:before="200" w:after="120"/>
        <w:jc w:val="both"/>
      </w:pPr>
      <w:r>
        <w:rPr>
          <w:b/>
        </w:rPr>
        <w:t>4</w:t>
      </w:r>
      <w:r w:rsidRPr="00D3547B">
        <w:rPr>
          <w:b/>
        </w:rPr>
        <w:t xml:space="preserve">. </w:t>
      </w:r>
      <w:proofErr w:type="spellStart"/>
      <w:r w:rsidRPr="00D3547B">
        <w:rPr>
          <w:b/>
        </w:rPr>
        <w:t>Warunki</w:t>
      </w:r>
      <w:proofErr w:type="spellEnd"/>
      <w:r w:rsidRPr="00D3547B">
        <w:rPr>
          <w:b/>
        </w:rPr>
        <w:t xml:space="preserve"> </w:t>
      </w:r>
      <w:proofErr w:type="spellStart"/>
      <w:r w:rsidRPr="00D3547B">
        <w:rPr>
          <w:b/>
        </w:rPr>
        <w:t>zakupu</w:t>
      </w:r>
      <w:proofErr w:type="spellEnd"/>
      <w:r w:rsidRPr="00D3547B">
        <w:rPr>
          <w:b/>
        </w:rPr>
        <w:t xml:space="preserve"> </w:t>
      </w:r>
      <w:proofErr w:type="spellStart"/>
      <w:r w:rsidRPr="00D3547B">
        <w:rPr>
          <w:b/>
        </w:rPr>
        <w:t>i</w:t>
      </w:r>
      <w:proofErr w:type="spellEnd"/>
      <w:r w:rsidRPr="00D3547B">
        <w:rPr>
          <w:b/>
        </w:rPr>
        <w:t xml:space="preserve"> </w:t>
      </w:r>
      <w:proofErr w:type="spellStart"/>
      <w:r w:rsidRPr="00D3547B">
        <w:rPr>
          <w:b/>
        </w:rPr>
        <w:t>realizacji</w:t>
      </w:r>
      <w:proofErr w:type="spellEnd"/>
    </w:p>
    <w:p w14:paraId="0A1FCF0E" w14:textId="6CEDE5D2" w:rsidR="00D3547B" w:rsidRPr="00D3547B" w:rsidRDefault="00D3547B" w:rsidP="00AE47CA">
      <w:pPr>
        <w:pStyle w:val="Listapunktowana"/>
        <w:spacing w:after="40"/>
        <w:jc w:val="both"/>
        <w:rPr>
          <w:lang w:val="pl-PL"/>
        </w:rPr>
      </w:pPr>
      <w:r w:rsidRPr="00D3547B">
        <w:rPr>
          <w:lang w:val="pl-PL"/>
        </w:rPr>
        <w:t xml:space="preserve">Okres realizacji: do </w:t>
      </w:r>
      <w:r w:rsidR="002C5386">
        <w:rPr>
          <w:lang w:val="pl-PL"/>
        </w:rPr>
        <w:t>6</w:t>
      </w:r>
      <w:r w:rsidRPr="00D3547B">
        <w:rPr>
          <w:lang w:val="pl-PL"/>
        </w:rPr>
        <w:t>0 dni kalendarzowych od dnia p</w:t>
      </w:r>
      <w:r w:rsidR="002C5386">
        <w:rPr>
          <w:lang w:val="pl-PL"/>
        </w:rPr>
        <w:t>rzekazania próbek</w:t>
      </w:r>
      <w:r w:rsidRPr="00D3547B">
        <w:rPr>
          <w:lang w:val="pl-PL"/>
        </w:rPr>
        <w:t>, z zastrzeżeniem, że próbki są eksponowane w warunkach rzeczywistych przez 30 dni, a badania wykonywane są w transzach.</w:t>
      </w:r>
    </w:p>
    <w:p w14:paraId="442E3825" w14:textId="46640626" w:rsidR="00D3547B" w:rsidRDefault="00D3547B" w:rsidP="00AE47CA">
      <w:pPr>
        <w:pStyle w:val="Listapunktowana"/>
        <w:spacing w:after="40"/>
        <w:jc w:val="both"/>
        <w:rPr>
          <w:lang w:val="pl-PL"/>
        </w:rPr>
      </w:pPr>
      <w:r w:rsidRPr="00D3547B">
        <w:rPr>
          <w:lang w:val="pl-PL"/>
        </w:rPr>
        <w:t xml:space="preserve">Termin przekazania raportu z badań dla danej transzy: maks. </w:t>
      </w:r>
      <w:r w:rsidR="002C5386">
        <w:rPr>
          <w:lang w:val="pl-PL"/>
        </w:rPr>
        <w:t>10</w:t>
      </w:r>
      <w:r w:rsidRPr="00D3547B">
        <w:rPr>
          <w:lang w:val="pl-PL"/>
        </w:rPr>
        <w:t xml:space="preserve"> dni </w:t>
      </w:r>
      <w:r w:rsidR="002C5386">
        <w:rPr>
          <w:lang w:val="pl-PL"/>
        </w:rPr>
        <w:t>kalendarzowych</w:t>
      </w:r>
      <w:r w:rsidRPr="00D3547B">
        <w:rPr>
          <w:lang w:val="pl-PL"/>
        </w:rPr>
        <w:t xml:space="preserve"> od zdjęcia próbek z instalacji po ekspozycji w terenie. Wykonawca przeprowadzi badania laboratoryjne (</w:t>
      </w:r>
      <w:proofErr w:type="spellStart"/>
      <w:r w:rsidRPr="00D3547B">
        <w:rPr>
          <w:lang w:val="pl-PL"/>
        </w:rPr>
        <w:t>kR</w:t>
      </w:r>
      <w:proofErr w:type="spellEnd"/>
      <w:r w:rsidRPr="00D3547B">
        <w:rPr>
          <w:lang w:val="pl-PL"/>
        </w:rPr>
        <w:t xml:space="preserve"> oraz analiza mikroskopowa) i przekaże raport dla danej transzy</w:t>
      </w:r>
      <w:r>
        <w:rPr>
          <w:lang w:val="pl-PL"/>
        </w:rPr>
        <w:t xml:space="preserve"> i raport zbiorczy</w:t>
      </w:r>
      <w:r w:rsidRPr="00D3547B">
        <w:rPr>
          <w:lang w:val="pl-PL"/>
        </w:rPr>
        <w:t>.</w:t>
      </w:r>
    </w:p>
    <w:p w14:paraId="202BE73C" w14:textId="0093E113" w:rsidR="00EF391D" w:rsidRPr="00AE47CA" w:rsidRDefault="00000000" w:rsidP="00AE47CA">
      <w:pPr>
        <w:pStyle w:val="Listapunktowana"/>
        <w:spacing w:after="40"/>
        <w:jc w:val="both"/>
        <w:rPr>
          <w:lang w:val="pl-PL"/>
        </w:rPr>
      </w:pPr>
      <w:r w:rsidRPr="00AE47CA">
        <w:rPr>
          <w:lang w:val="pl-PL"/>
        </w:rPr>
        <w:t>Sposób rozliczenia: faktura VAT po odbiorze raportu zbiorczego (za całość zamówienia).</w:t>
      </w:r>
    </w:p>
    <w:p w14:paraId="4F52A4AA" w14:textId="77777777" w:rsidR="00EF391D" w:rsidRPr="006D34DA" w:rsidRDefault="00000000" w:rsidP="00AE47CA">
      <w:pPr>
        <w:pStyle w:val="Listapunktowana"/>
        <w:spacing w:after="40"/>
        <w:jc w:val="both"/>
        <w:rPr>
          <w:lang w:val="pl-PL"/>
        </w:rPr>
      </w:pPr>
      <w:r w:rsidRPr="006D34DA">
        <w:rPr>
          <w:lang w:val="pl-PL"/>
        </w:rPr>
        <w:t>Miejsce przekazania próbek przez Zamawiającego: Karolew 21A, 05-652 Pniewy lub dostawa kurierska (do uzgodnienia).</w:t>
      </w:r>
    </w:p>
    <w:p w14:paraId="3083EC9E" w14:textId="77777777" w:rsidR="00EF391D" w:rsidRPr="00AE47CA" w:rsidRDefault="00000000" w:rsidP="00AE47CA">
      <w:pPr>
        <w:pStyle w:val="Listapunktowana"/>
        <w:spacing w:after="40"/>
        <w:jc w:val="both"/>
        <w:rPr>
          <w:lang w:val="pl-PL"/>
        </w:rPr>
      </w:pPr>
      <w:r w:rsidRPr="00AE47CA">
        <w:rPr>
          <w:lang w:val="pl-PL"/>
        </w:rPr>
        <w:t>Miejsce wykonania badań: laboratorium Wykonawcy.</w:t>
      </w:r>
    </w:p>
    <w:p w14:paraId="50194197" w14:textId="77777777" w:rsidR="00EF391D" w:rsidRPr="00AE47CA" w:rsidRDefault="00EF391D" w:rsidP="00AE47CA">
      <w:pPr>
        <w:spacing w:after="120"/>
        <w:jc w:val="both"/>
        <w:rPr>
          <w:lang w:val="pl-PL"/>
        </w:rPr>
      </w:pPr>
    </w:p>
    <w:p w14:paraId="73F60FAD" w14:textId="77777777" w:rsidR="00EF391D" w:rsidRDefault="00000000" w:rsidP="00AE47CA">
      <w:pPr>
        <w:spacing w:before="200" w:after="120"/>
        <w:jc w:val="both"/>
      </w:pPr>
      <w:r>
        <w:rPr>
          <w:b/>
        </w:rPr>
        <w:t xml:space="preserve">5. </w:t>
      </w:r>
      <w:proofErr w:type="spellStart"/>
      <w:r>
        <w:rPr>
          <w:b/>
        </w:rPr>
        <w:t>Warunki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udziału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wykluczenia</w:t>
      </w:r>
      <w:proofErr w:type="spellEnd"/>
    </w:p>
    <w:p w14:paraId="41C4472D" w14:textId="77777777" w:rsidR="00EF391D" w:rsidRPr="00AE47CA" w:rsidRDefault="00000000" w:rsidP="00AE47CA">
      <w:pPr>
        <w:pStyle w:val="Listapunktowana"/>
        <w:spacing w:after="40"/>
        <w:jc w:val="both"/>
        <w:rPr>
          <w:lang w:val="pl-PL"/>
        </w:rPr>
      </w:pPr>
      <w:r w:rsidRPr="00AE47CA">
        <w:rPr>
          <w:lang w:val="pl-PL"/>
        </w:rPr>
        <w:t>Brak powiązań kapitałowych i osobowych z Zamawiającym - wg oświadczenia (Załącznik nr 2).</w:t>
      </w:r>
    </w:p>
    <w:p w14:paraId="5B521C40" w14:textId="77777777" w:rsidR="00EF391D" w:rsidRPr="00AE47CA" w:rsidRDefault="00000000" w:rsidP="00AE47CA">
      <w:pPr>
        <w:pStyle w:val="Listapunktowana"/>
        <w:spacing w:after="40"/>
        <w:jc w:val="both"/>
        <w:rPr>
          <w:lang w:val="pl-PL"/>
        </w:rPr>
      </w:pPr>
      <w:r w:rsidRPr="00AE47CA">
        <w:rPr>
          <w:lang w:val="pl-PL"/>
        </w:rPr>
        <w:t>Posiadanie zaplecza i kompetencji do wykonania badań zgodnie z normami TS CEN/TS 16980-1:2017 oraz EN 16980-1:2021 (mile widziana akredytacja lub system jakości).</w:t>
      </w:r>
    </w:p>
    <w:p w14:paraId="7812AA6C" w14:textId="77777777" w:rsidR="00EF391D" w:rsidRPr="00AE47CA" w:rsidRDefault="00000000" w:rsidP="00AE47CA">
      <w:pPr>
        <w:pStyle w:val="Listapunktowana"/>
        <w:spacing w:after="40"/>
        <w:jc w:val="both"/>
        <w:rPr>
          <w:lang w:val="pl-PL"/>
        </w:rPr>
      </w:pPr>
      <w:r w:rsidRPr="00AE47CA">
        <w:rPr>
          <w:lang w:val="pl-PL"/>
        </w:rPr>
        <w:t>Niepodleganie wykluczeniu z art. 5k Rozporządzenia 833/2014 oraz art. 7 ust. 1 ustawy o szczególnych rozwiązaniach w zakresie przeciwdziałania wspieraniu agresji na Ukrainę oraz służących ochronie bezpieczeństwa narodowego.</w:t>
      </w:r>
    </w:p>
    <w:p w14:paraId="7F20F601" w14:textId="77777777" w:rsidR="00EF391D" w:rsidRPr="00AE47CA" w:rsidRDefault="00000000" w:rsidP="00AE47CA">
      <w:pPr>
        <w:pStyle w:val="Listapunktowana"/>
        <w:spacing w:after="40"/>
        <w:jc w:val="both"/>
        <w:rPr>
          <w:lang w:val="pl-PL"/>
        </w:rPr>
      </w:pPr>
      <w:r w:rsidRPr="00AE47CA">
        <w:rPr>
          <w:lang w:val="pl-PL"/>
        </w:rPr>
        <w:t>Sytuacja ekonomiczna i finansowa zapewniająca wykonanie zamówienia; brak przesłanek upadłości / likwidacji.</w:t>
      </w:r>
    </w:p>
    <w:p w14:paraId="2E8A7F79" w14:textId="77777777" w:rsidR="00EF391D" w:rsidRPr="00AE47CA" w:rsidRDefault="00000000" w:rsidP="00AE47CA">
      <w:pPr>
        <w:spacing w:before="200" w:after="120"/>
        <w:jc w:val="both"/>
        <w:rPr>
          <w:lang w:val="pl-PL"/>
        </w:rPr>
      </w:pPr>
      <w:r w:rsidRPr="00AE47CA">
        <w:rPr>
          <w:b/>
          <w:lang w:val="pl-PL"/>
        </w:rPr>
        <w:t>6. Terminy</w:t>
      </w:r>
    </w:p>
    <w:p w14:paraId="12490938" w14:textId="701F5D07" w:rsidR="00EF391D" w:rsidRPr="00AE47CA" w:rsidRDefault="00000000" w:rsidP="00AE47CA">
      <w:pPr>
        <w:spacing w:after="120"/>
        <w:jc w:val="both"/>
        <w:rPr>
          <w:lang w:val="pl-PL"/>
        </w:rPr>
      </w:pPr>
      <w:r w:rsidRPr="00AE47CA">
        <w:rPr>
          <w:lang w:val="pl-PL"/>
        </w:rPr>
        <w:t xml:space="preserve">Termin składania ofert: do </w:t>
      </w:r>
      <w:r w:rsidR="00BD3B4A">
        <w:rPr>
          <w:lang w:val="pl-PL"/>
        </w:rPr>
        <w:t>2</w:t>
      </w:r>
      <w:r w:rsidRPr="00AE47CA">
        <w:rPr>
          <w:lang w:val="pl-PL"/>
        </w:rPr>
        <w:t xml:space="preserve"> </w:t>
      </w:r>
      <w:r w:rsidR="00CE74B4">
        <w:rPr>
          <w:lang w:val="pl-PL"/>
        </w:rPr>
        <w:t>lutego</w:t>
      </w:r>
      <w:r w:rsidRPr="00AE47CA">
        <w:rPr>
          <w:lang w:val="pl-PL"/>
        </w:rPr>
        <w:t xml:space="preserve"> 2026 r., godz.</w:t>
      </w:r>
      <w:r w:rsidR="007215B7">
        <w:rPr>
          <w:lang w:val="pl-PL"/>
        </w:rPr>
        <w:t xml:space="preserve"> </w:t>
      </w:r>
      <w:r w:rsidR="00BD3B4A">
        <w:rPr>
          <w:lang w:val="pl-PL"/>
        </w:rPr>
        <w:t>23</w:t>
      </w:r>
      <w:r w:rsidR="007215B7">
        <w:rPr>
          <w:lang w:val="pl-PL"/>
        </w:rPr>
        <w:t>:</w:t>
      </w:r>
      <w:r w:rsidR="00BD3B4A">
        <w:rPr>
          <w:lang w:val="pl-PL"/>
        </w:rPr>
        <w:t>59</w:t>
      </w:r>
      <w:r w:rsidR="007215B7">
        <w:rPr>
          <w:lang w:val="pl-PL"/>
        </w:rPr>
        <w:t xml:space="preserve"> (CET)</w:t>
      </w:r>
      <w:r w:rsidRPr="00AE47CA">
        <w:rPr>
          <w:lang w:val="pl-PL"/>
        </w:rPr>
        <w:t>.</w:t>
      </w:r>
    </w:p>
    <w:p w14:paraId="16F36F08" w14:textId="1DDC38E5" w:rsidR="00EF391D" w:rsidRPr="00AE47CA" w:rsidRDefault="00000000" w:rsidP="00AE47CA">
      <w:pPr>
        <w:jc w:val="both"/>
        <w:rPr>
          <w:lang w:val="pl-PL"/>
        </w:rPr>
      </w:pPr>
      <w:r w:rsidRPr="00AE47CA">
        <w:rPr>
          <w:lang w:val="pl-PL"/>
        </w:rPr>
        <w:t>Pytania do treści zapytania można zadawać do 2 dni roboczych przed upływem terminu składania ofert. Zamawiający opublikuje odpowiedzi w BK2021 nie później niż na 1 dzień roboczy przed upływem terminu składania ofert.</w:t>
      </w:r>
    </w:p>
    <w:p w14:paraId="13F7368A" w14:textId="77777777" w:rsidR="00EF391D" w:rsidRPr="00AE47CA" w:rsidRDefault="00000000" w:rsidP="00AE47CA">
      <w:pPr>
        <w:spacing w:before="200" w:after="120"/>
        <w:jc w:val="both"/>
        <w:rPr>
          <w:lang w:val="pl-PL"/>
        </w:rPr>
      </w:pPr>
      <w:r w:rsidRPr="00AE47CA">
        <w:rPr>
          <w:b/>
          <w:lang w:val="pl-PL"/>
        </w:rPr>
        <w:t>7. Kryteria oceny ofert</w:t>
      </w:r>
    </w:p>
    <w:p w14:paraId="0DF3FB31" w14:textId="77777777" w:rsidR="00EF391D" w:rsidRPr="00AE47CA" w:rsidRDefault="00000000" w:rsidP="00AE47CA">
      <w:pPr>
        <w:spacing w:after="40"/>
        <w:jc w:val="both"/>
        <w:rPr>
          <w:lang w:val="pl-PL"/>
        </w:rPr>
      </w:pPr>
      <w:r w:rsidRPr="00AE47CA">
        <w:rPr>
          <w:lang w:val="pl-PL"/>
        </w:rPr>
        <w:t>Maksymalnie: 100 pkt.</w:t>
      </w:r>
    </w:p>
    <w:p w14:paraId="63F83CF9" w14:textId="48ADABF4" w:rsidR="00EF391D" w:rsidRPr="00AE47CA" w:rsidRDefault="00000000" w:rsidP="00AE47CA">
      <w:pPr>
        <w:spacing w:after="120"/>
        <w:jc w:val="both"/>
        <w:rPr>
          <w:lang w:val="pl-PL"/>
        </w:rPr>
      </w:pPr>
      <w:r w:rsidRPr="00AE47CA">
        <w:rPr>
          <w:lang w:val="pl-PL"/>
        </w:rPr>
        <w:t>Łączna punktacja oferty: S</w:t>
      </w:r>
      <w:r>
        <w:t>ᵢ</w:t>
      </w:r>
      <w:r w:rsidRPr="00AE47CA">
        <w:rPr>
          <w:lang w:val="pl-PL"/>
        </w:rPr>
        <w:t xml:space="preserve"> = P</w:t>
      </w:r>
      <w:r>
        <w:t>ᵢ</w:t>
      </w:r>
      <w:r w:rsidRPr="00AE47CA">
        <w:rPr>
          <w:lang w:val="pl-PL"/>
        </w:rPr>
        <w:t xml:space="preserve"> </w:t>
      </w:r>
    </w:p>
    <w:p w14:paraId="454802CF" w14:textId="6D3961B4" w:rsidR="00EF391D" w:rsidRPr="00185A3E" w:rsidRDefault="00000000" w:rsidP="00AE47CA">
      <w:pPr>
        <w:spacing w:after="80"/>
        <w:jc w:val="both"/>
        <w:rPr>
          <w:lang w:val="pl-PL"/>
        </w:rPr>
      </w:pPr>
      <w:r w:rsidRPr="00185A3E">
        <w:rPr>
          <w:b/>
          <w:lang w:val="pl-PL"/>
        </w:rPr>
        <w:t xml:space="preserve">1) Cena (waga </w:t>
      </w:r>
      <w:r w:rsidR="003C0397" w:rsidRPr="00185A3E">
        <w:rPr>
          <w:b/>
          <w:lang w:val="pl-PL"/>
        </w:rPr>
        <w:t>10</w:t>
      </w:r>
      <w:r w:rsidRPr="00185A3E">
        <w:rPr>
          <w:b/>
          <w:lang w:val="pl-PL"/>
        </w:rPr>
        <w:t>0%)</w:t>
      </w:r>
    </w:p>
    <w:p w14:paraId="76A09DAE" w14:textId="77777777" w:rsidR="00EF391D" w:rsidRPr="00AE47CA" w:rsidRDefault="00000000" w:rsidP="00AE47CA">
      <w:pPr>
        <w:pStyle w:val="Listapunktowana"/>
        <w:spacing w:after="40"/>
        <w:jc w:val="both"/>
        <w:rPr>
          <w:lang w:val="pl-PL"/>
        </w:rPr>
      </w:pPr>
      <w:r w:rsidRPr="00AE47CA">
        <w:rPr>
          <w:lang w:val="pl-PL"/>
        </w:rPr>
        <w:lastRenderedPageBreak/>
        <w:t>Opis: oceniana jest cena brutto za całość zamówienia (10 badań próbek).</w:t>
      </w:r>
    </w:p>
    <w:p w14:paraId="0ACE1E4A" w14:textId="55BCAC77" w:rsidR="00EF391D" w:rsidRPr="00AE47CA" w:rsidRDefault="00000000" w:rsidP="00AE47CA">
      <w:pPr>
        <w:pStyle w:val="Listapunktowana"/>
        <w:spacing w:after="40"/>
        <w:jc w:val="both"/>
        <w:rPr>
          <w:lang w:val="pl-PL"/>
        </w:rPr>
      </w:pPr>
      <w:r w:rsidRPr="00AE47CA">
        <w:rPr>
          <w:lang w:val="pl-PL"/>
        </w:rPr>
        <w:t>Wzór: P</w:t>
      </w:r>
      <w:r>
        <w:t>ᵢ</w:t>
      </w:r>
      <w:r w:rsidRPr="00AE47CA">
        <w:rPr>
          <w:lang w:val="pl-PL"/>
        </w:rPr>
        <w:t xml:space="preserve"> = (</w:t>
      </w:r>
      <w:proofErr w:type="spellStart"/>
      <w:r w:rsidRPr="00AE47CA">
        <w:rPr>
          <w:lang w:val="pl-PL"/>
        </w:rPr>
        <w:t>C_min</w:t>
      </w:r>
      <w:proofErr w:type="spellEnd"/>
      <w:r w:rsidRPr="00AE47CA">
        <w:rPr>
          <w:lang w:val="pl-PL"/>
        </w:rPr>
        <w:t xml:space="preserve"> / C</w:t>
      </w:r>
      <w:r>
        <w:t>ᵢ</w:t>
      </w:r>
      <w:r w:rsidRPr="00AE47CA">
        <w:rPr>
          <w:lang w:val="pl-PL"/>
        </w:rPr>
        <w:t xml:space="preserve">) × </w:t>
      </w:r>
      <w:r w:rsidR="008B4E84">
        <w:rPr>
          <w:lang w:val="pl-PL"/>
        </w:rPr>
        <w:t>10</w:t>
      </w:r>
      <w:r w:rsidRPr="00AE47CA">
        <w:rPr>
          <w:lang w:val="pl-PL"/>
        </w:rPr>
        <w:t xml:space="preserve">0 pkt, gdzie: </w:t>
      </w:r>
      <w:proofErr w:type="spellStart"/>
      <w:r w:rsidRPr="00AE47CA">
        <w:rPr>
          <w:lang w:val="pl-PL"/>
        </w:rPr>
        <w:t>C_min</w:t>
      </w:r>
      <w:proofErr w:type="spellEnd"/>
      <w:r w:rsidRPr="00AE47CA">
        <w:rPr>
          <w:lang w:val="pl-PL"/>
        </w:rPr>
        <w:t xml:space="preserve"> - najniższa cena; C</w:t>
      </w:r>
      <w:r>
        <w:t>ᵢ</w:t>
      </w:r>
      <w:r w:rsidRPr="00AE47CA">
        <w:rPr>
          <w:lang w:val="pl-PL"/>
        </w:rPr>
        <w:t xml:space="preserve"> - cena oferty badanej.</w:t>
      </w:r>
    </w:p>
    <w:p w14:paraId="206CBCF3" w14:textId="77777777" w:rsidR="00EF391D" w:rsidRPr="00AE47CA" w:rsidRDefault="00000000" w:rsidP="00AE47CA">
      <w:pPr>
        <w:pStyle w:val="Listapunktowana"/>
        <w:spacing w:after="40"/>
        <w:jc w:val="both"/>
        <w:rPr>
          <w:lang w:val="pl-PL"/>
        </w:rPr>
      </w:pPr>
      <w:r w:rsidRPr="00AE47CA">
        <w:rPr>
          <w:lang w:val="pl-PL"/>
        </w:rPr>
        <w:t>Uwagi: cena musi obejmować wszystkie koszty realizacji zamówienia (w tym ewentualne koszty opracowania raportów).</w:t>
      </w:r>
    </w:p>
    <w:p w14:paraId="5B251B2D" w14:textId="3D67DC4B" w:rsidR="00EF391D" w:rsidRPr="00AE47CA" w:rsidRDefault="00000000" w:rsidP="00AE47CA">
      <w:pPr>
        <w:jc w:val="both"/>
        <w:rPr>
          <w:lang w:val="pl-PL"/>
        </w:rPr>
      </w:pPr>
      <w:r w:rsidRPr="00AE47CA">
        <w:rPr>
          <w:lang w:val="pl-PL"/>
        </w:rPr>
        <w:t xml:space="preserve">Punkty liczone z dokładnością do dwóch miejsc po przecinku. </w:t>
      </w:r>
    </w:p>
    <w:p w14:paraId="3990841C" w14:textId="77777777" w:rsidR="00EF391D" w:rsidRPr="00AE47CA" w:rsidRDefault="00000000" w:rsidP="00AE47CA">
      <w:pPr>
        <w:spacing w:before="200" w:after="120"/>
        <w:jc w:val="both"/>
        <w:rPr>
          <w:lang w:val="pl-PL"/>
        </w:rPr>
      </w:pPr>
      <w:r w:rsidRPr="00AE47CA">
        <w:rPr>
          <w:b/>
          <w:lang w:val="pl-PL"/>
        </w:rPr>
        <w:t>8. Sposób przygotowania i termin złożenia oferty</w:t>
      </w:r>
    </w:p>
    <w:p w14:paraId="7828FC30" w14:textId="1F485001" w:rsidR="00EF391D" w:rsidRPr="00AE47CA" w:rsidRDefault="00000000" w:rsidP="00AE47CA">
      <w:pPr>
        <w:spacing w:after="120"/>
        <w:jc w:val="both"/>
        <w:rPr>
          <w:lang w:val="pl-PL"/>
        </w:rPr>
      </w:pPr>
      <w:r w:rsidRPr="00AE47CA">
        <w:rPr>
          <w:lang w:val="pl-PL"/>
        </w:rPr>
        <w:t xml:space="preserve">Ofertę należy złożyć na Formularzu ofertowym (Załącznik nr 1) w terminie wskazanym w pkt. 6. Oferta powinna być ważna przez co najmniej </w:t>
      </w:r>
      <w:r w:rsidR="00AE47CA">
        <w:rPr>
          <w:lang w:val="pl-PL"/>
        </w:rPr>
        <w:t>3</w:t>
      </w:r>
      <w:r w:rsidRPr="00AE47CA">
        <w:rPr>
          <w:lang w:val="pl-PL"/>
        </w:rPr>
        <w:t>0 dni.</w:t>
      </w:r>
    </w:p>
    <w:p w14:paraId="575FAB5B" w14:textId="77777777" w:rsidR="00EF391D" w:rsidRPr="00AE47CA" w:rsidRDefault="00000000" w:rsidP="00AE47CA">
      <w:pPr>
        <w:spacing w:after="80"/>
        <w:jc w:val="both"/>
        <w:rPr>
          <w:lang w:val="pl-PL"/>
        </w:rPr>
      </w:pPr>
      <w:r w:rsidRPr="00AE47CA">
        <w:rPr>
          <w:lang w:val="pl-PL"/>
        </w:rPr>
        <w:t>Wymagane załączniki:</w:t>
      </w:r>
    </w:p>
    <w:p w14:paraId="0C3DADE2" w14:textId="77777777" w:rsidR="00EF391D" w:rsidRDefault="00000000" w:rsidP="00AE47CA">
      <w:pPr>
        <w:pStyle w:val="Listapunktowana"/>
        <w:spacing w:after="40"/>
        <w:jc w:val="both"/>
      </w:pPr>
      <w:proofErr w:type="spellStart"/>
      <w:r>
        <w:t>Załącznik</w:t>
      </w:r>
      <w:proofErr w:type="spellEnd"/>
      <w:r>
        <w:t xml:space="preserve"> nr 1 - </w:t>
      </w:r>
      <w:proofErr w:type="spellStart"/>
      <w:r>
        <w:t>Formularz</w:t>
      </w:r>
      <w:proofErr w:type="spellEnd"/>
      <w:r>
        <w:t xml:space="preserve"> </w:t>
      </w:r>
      <w:proofErr w:type="spellStart"/>
      <w:r>
        <w:t>ofertowy</w:t>
      </w:r>
      <w:proofErr w:type="spellEnd"/>
      <w:r>
        <w:t>.</w:t>
      </w:r>
    </w:p>
    <w:p w14:paraId="35447930" w14:textId="77777777" w:rsidR="00EF391D" w:rsidRPr="00AE47CA" w:rsidRDefault="00000000" w:rsidP="00AE47CA">
      <w:pPr>
        <w:pStyle w:val="Listapunktowana"/>
        <w:spacing w:after="40"/>
        <w:jc w:val="both"/>
        <w:rPr>
          <w:lang w:val="pl-PL"/>
        </w:rPr>
      </w:pPr>
      <w:r w:rsidRPr="00AE47CA">
        <w:rPr>
          <w:lang w:val="pl-PL"/>
        </w:rPr>
        <w:t>Załącznik nr 2 - Oświadczenie o braku powiązań osobowych/kapitałowych.</w:t>
      </w:r>
    </w:p>
    <w:p w14:paraId="134A27C2" w14:textId="77777777" w:rsidR="00EF391D" w:rsidRPr="00AE47CA" w:rsidRDefault="00000000" w:rsidP="00AE47CA">
      <w:pPr>
        <w:spacing w:after="120"/>
        <w:jc w:val="both"/>
        <w:rPr>
          <w:lang w:val="pl-PL"/>
        </w:rPr>
      </w:pPr>
      <w:r w:rsidRPr="00AE47CA">
        <w:rPr>
          <w:lang w:val="pl-PL"/>
        </w:rPr>
        <w:t>Każdy Oferent może złożyć tylko jedną ofertę. Oferent może przed upływem terminu składania ofert zmienić lub wycofać swoją ofertę.</w:t>
      </w:r>
    </w:p>
    <w:p w14:paraId="1EE40808" w14:textId="77777777" w:rsidR="00EF391D" w:rsidRPr="00AE47CA" w:rsidRDefault="00000000" w:rsidP="00AE47CA">
      <w:pPr>
        <w:spacing w:after="120"/>
        <w:jc w:val="both"/>
        <w:rPr>
          <w:lang w:val="pl-PL"/>
        </w:rPr>
      </w:pPr>
      <w:r w:rsidRPr="00AE47CA">
        <w:rPr>
          <w:lang w:val="pl-PL"/>
        </w:rPr>
        <w:t>Oferty składa się wyłącznie za pośrednictwem BK2021. O terminowym złożeniu oferty decyduje data złożenia w BK2021.</w:t>
      </w:r>
    </w:p>
    <w:p w14:paraId="2D14EA7B" w14:textId="45DE3310" w:rsidR="00EF391D" w:rsidRPr="00AE47CA" w:rsidRDefault="00000000" w:rsidP="00AE47CA">
      <w:pPr>
        <w:spacing w:after="120"/>
        <w:jc w:val="both"/>
        <w:rPr>
          <w:lang w:val="pl-PL"/>
        </w:rPr>
      </w:pPr>
      <w:r w:rsidRPr="00AE47CA">
        <w:rPr>
          <w:lang w:val="pl-PL"/>
        </w:rPr>
        <w:t>Oferenci z innych państw muszą składać dokumenty w języku polskim.</w:t>
      </w:r>
      <w:r w:rsidR="0006139C">
        <w:rPr>
          <w:lang w:val="pl-PL"/>
        </w:rPr>
        <w:t xml:space="preserve"> </w:t>
      </w:r>
      <w:r w:rsidR="00372250">
        <w:rPr>
          <w:lang w:val="pl-PL"/>
        </w:rPr>
        <w:t xml:space="preserve">Pomocniczo Zamawiający załącza </w:t>
      </w:r>
      <w:r w:rsidR="00B40C74">
        <w:rPr>
          <w:lang w:val="pl-PL"/>
        </w:rPr>
        <w:t>wszystkie dokumenty</w:t>
      </w:r>
      <w:r w:rsidR="00372250">
        <w:rPr>
          <w:lang w:val="pl-PL"/>
        </w:rPr>
        <w:t xml:space="preserve"> w języku angielskim i niemieckim, ale wią</w:t>
      </w:r>
      <w:r w:rsidR="00B40C74">
        <w:rPr>
          <w:lang w:val="pl-PL"/>
        </w:rPr>
        <w:t>żąca jest oferta w języku polskim.</w:t>
      </w:r>
    </w:p>
    <w:p w14:paraId="167446C7" w14:textId="77777777" w:rsidR="00EF391D" w:rsidRPr="00AE47CA" w:rsidRDefault="00000000" w:rsidP="00AE47CA">
      <w:pPr>
        <w:jc w:val="both"/>
        <w:rPr>
          <w:lang w:val="pl-PL"/>
        </w:rPr>
      </w:pPr>
      <w:r w:rsidRPr="00AE47CA">
        <w:rPr>
          <w:lang w:val="pl-PL"/>
        </w:rPr>
        <w:t>Oferent ponosi wszystkie koszty związane z przygotowaniem i złożeniem oferty.</w:t>
      </w:r>
    </w:p>
    <w:p w14:paraId="05CC0ED2" w14:textId="77777777" w:rsidR="00EF391D" w:rsidRPr="00AE47CA" w:rsidRDefault="00000000" w:rsidP="00AE47CA">
      <w:pPr>
        <w:spacing w:before="200" w:after="120"/>
        <w:jc w:val="both"/>
        <w:rPr>
          <w:lang w:val="pl-PL"/>
        </w:rPr>
      </w:pPr>
      <w:r w:rsidRPr="00AE47CA">
        <w:rPr>
          <w:b/>
          <w:lang w:val="pl-PL"/>
        </w:rPr>
        <w:t>9. Procedura wyboru</w:t>
      </w:r>
    </w:p>
    <w:p w14:paraId="00614F8E" w14:textId="77777777" w:rsidR="00EF391D" w:rsidRPr="00AE47CA" w:rsidRDefault="00000000" w:rsidP="00AE47CA">
      <w:pPr>
        <w:spacing w:after="120"/>
        <w:jc w:val="both"/>
        <w:rPr>
          <w:lang w:val="pl-PL"/>
        </w:rPr>
      </w:pPr>
      <w:r w:rsidRPr="00AE47CA">
        <w:rPr>
          <w:lang w:val="pl-PL"/>
        </w:rPr>
        <w:t>Zamawiający wybierze dwie oferty z najwyższą liczbą punktów spełniające wymagania, w celu wyboru dwóch Wykonawców. Zamawiający sporządza protokół z wyboru ofert, który udostępnia na wniosek wykonawcy. Dokumentacja będzie przechowywana min. 5 lat od zakończenia projektu. W przypadku gdy liczba ważnych ofert będzie mniejsza niż 2, Zamawiający może wybrać jednego Wykonawcę.</w:t>
      </w:r>
    </w:p>
    <w:p w14:paraId="3035B615" w14:textId="77777777" w:rsidR="00EF391D" w:rsidRPr="00AE47CA" w:rsidRDefault="00000000" w:rsidP="00AE47CA">
      <w:pPr>
        <w:jc w:val="both"/>
        <w:rPr>
          <w:lang w:val="pl-PL"/>
        </w:rPr>
      </w:pPr>
      <w:r w:rsidRPr="00AE47CA">
        <w:rPr>
          <w:lang w:val="pl-PL"/>
        </w:rPr>
        <w:t>Po zakończeniu oceny ofert Zamawiający opublikuje informację o wyniku postępowania w BK2021, zawierającą nazwę/siedzibę wybranych wykonawców oraz ceny najkorzystniejszych ofert.</w:t>
      </w:r>
    </w:p>
    <w:p w14:paraId="1796FFA7" w14:textId="77777777" w:rsidR="00EF391D" w:rsidRPr="00AE47CA" w:rsidRDefault="00000000" w:rsidP="00AE47CA">
      <w:pPr>
        <w:spacing w:before="200" w:after="120"/>
        <w:jc w:val="both"/>
        <w:rPr>
          <w:lang w:val="pl-PL"/>
        </w:rPr>
      </w:pPr>
      <w:r w:rsidRPr="00AE47CA">
        <w:rPr>
          <w:b/>
          <w:lang w:val="pl-PL"/>
        </w:rPr>
        <w:t>10. Odbiór i rozliczenie</w:t>
      </w:r>
    </w:p>
    <w:p w14:paraId="16DA5820" w14:textId="77777777" w:rsidR="00EF391D" w:rsidRPr="00AE47CA" w:rsidRDefault="00000000" w:rsidP="00AE47CA">
      <w:pPr>
        <w:spacing w:after="120"/>
        <w:jc w:val="both"/>
        <w:rPr>
          <w:lang w:val="pl-PL"/>
        </w:rPr>
      </w:pPr>
      <w:r w:rsidRPr="00AE47CA">
        <w:rPr>
          <w:lang w:val="pl-PL"/>
        </w:rPr>
        <w:t>Warunkiem zapłaty jest przekazanie raportu/raportów z badań zgodnie z OPZ oraz ich akceptacja przez Zamawiającego.</w:t>
      </w:r>
    </w:p>
    <w:p w14:paraId="51738EC7" w14:textId="77777777" w:rsidR="00EF391D" w:rsidRPr="00AE47CA" w:rsidRDefault="00000000" w:rsidP="00AE47CA">
      <w:pPr>
        <w:jc w:val="both"/>
        <w:rPr>
          <w:lang w:val="pl-PL"/>
        </w:rPr>
      </w:pPr>
      <w:r w:rsidRPr="00B40C74">
        <w:rPr>
          <w:lang w:val="pl-PL"/>
        </w:rPr>
        <w:t xml:space="preserve">Raport powinien zawierać co najmniej: (a) identyfikację próbek, (b) opis metody, (c) wyniki </w:t>
      </w:r>
      <w:proofErr w:type="spellStart"/>
      <w:r w:rsidRPr="00B40C74">
        <w:rPr>
          <w:lang w:val="pl-PL"/>
        </w:rPr>
        <w:t>kR</w:t>
      </w:r>
      <w:proofErr w:type="spellEnd"/>
      <w:r w:rsidRPr="00B40C74">
        <w:rPr>
          <w:lang w:val="pl-PL"/>
        </w:rPr>
        <w:t xml:space="preserve"> dla każdej próbki, (d) wyniki analizy mikroskopowej (zdjęcia/obrazy), (e) wnioski i ewentualne rekomendacje.</w:t>
      </w:r>
    </w:p>
    <w:p w14:paraId="59394940" w14:textId="77777777" w:rsidR="00EF391D" w:rsidRPr="00AE47CA" w:rsidRDefault="00000000" w:rsidP="00AE47CA">
      <w:pPr>
        <w:spacing w:before="200" w:after="120"/>
        <w:jc w:val="both"/>
        <w:rPr>
          <w:lang w:val="pl-PL"/>
        </w:rPr>
      </w:pPr>
      <w:r w:rsidRPr="00AE47CA">
        <w:rPr>
          <w:b/>
          <w:lang w:val="pl-PL"/>
        </w:rPr>
        <w:t>11. Zmiany umowy</w:t>
      </w:r>
    </w:p>
    <w:p w14:paraId="05BBF7BE" w14:textId="77777777" w:rsidR="00EF391D" w:rsidRPr="00AE47CA" w:rsidRDefault="00000000" w:rsidP="00AE47CA">
      <w:pPr>
        <w:jc w:val="both"/>
        <w:rPr>
          <w:lang w:val="pl-PL"/>
        </w:rPr>
      </w:pPr>
      <w:r w:rsidRPr="00AE47CA">
        <w:rPr>
          <w:lang w:val="pl-PL"/>
        </w:rPr>
        <w:t xml:space="preserve">Wszelkie zmiany i uzupełnienia umowy wymagają formy pisemnej pod rygorem nieważności. Zamawiający dopuszcza możliwość dokonania istotnej zmiany postanowień umowy w przypadkach uzasadnionych okolicznościami, których Strony nie mogły przewidzieć (np. siła wyższa), zmianą </w:t>
      </w:r>
      <w:r w:rsidRPr="00AE47CA">
        <w:rPr>
          <w:lang w:val="pl-PL"/>
        </w:rPr>
        <w:lastRenderedPageBreak/>
        <w:t>powszechnie obowiązujących przepisów lub wytycznych, sukcesją wykonawcy, zmianą stawki VAT lub innych obowiązkowych obciążeń publicznoprawnych, a także w przypadku decyzji instytucji finansującej wpływającej na zakres lub terminy realizacji projektu.</w:t>
      </w:r>
    </w:p>
    <w:p w14:paraId="08836C51" w14:textId="006073F1" w:rsidR="00EF391D" w:rsidRPr="00AE47CA" w:rsidRDefault="00000000" w:rsidP="00AE47CA">
      <w:pPr>
        <w:spacing w:before="200" w:after="120"/>
        <w:jc w:val="both"/>
        <w:rPr>
          <w:lang w:val="pl-PL"/>
        </w:rPr>
      </w:pPr>
      <w:r w:rsidRPr="00AE47CA">
        <w:rPr>
          <w:b/>
          <w:lang w:val="pl-PL"/>
        </w:rPr>
        <w:t>1</w:t>
      </w:r>
      <w:r w:rsidR="00AD412F">
        <w:rPr>
          <w:b/>
          <w:lang w:val="pl-PL"/>
        </w:rPr>
        <w:t>2</w:t>
      </w:r>
      <w:r w:rsidRPr="00AE47CA">
        <w:rPr>
          <w:b/>
          <w:lang w:val="pl-PL"/>
        </w:rPr>
        <w:t>. Informacje dodatkowe</w:t>
      </w:r>
    </w:p>
    <w:p w14:paraId="6F6E9C5C" w14:textId="676ACE8E" w:rsidR="00EF391D" w:rsidRPr="00AE47CA" w:rsidRDefault="00000000" w:rsidP="7A33D7B2">
      <w:pPr>
        <w:spacing w:after="120"/>
        <w:jc w:val="both"/>
        <w:rPr>
          <w:lang w:val="pl-PL"/>
        </w:rPr>
      </w:pPr>
      <w:r w:rsidRPr="00AE47CA">
        <w:rPr>
          <w:lang w:val="pl-PL"/>
        </w:rPr>
        <w:t>Zamawiający po upublicznieniu niniejszego zapytania ofertowego, a przed dokonaniem wyboru oferty jako najkorzystniejszej jest uprawniony do unieważnienia postępowania bez wskazania przyczyn. W razie unieważnienia Zamawiający nie będzie zobowiązany do akceptacji żadnej z ofert ani do zawarcia umowy.</w:t>
      </w:r>
    </w:p>
    <w:p w14:paraId="01716A8A" w14:textId="0523FC3E" w:rsidR="00EF391D" w:rsidRPr="00AE47CA" w:rsidRDefault="00000000" w:rsidP="00AE47CA">
      <w:pPr>
        <w:spacing w:before="200" w:after="120"/>
        <w:jc w:val="both"/>
        <w:rPr>
          <w:lang w:val="pl-PL"/>
        </w:rPr>
      </w:pPr>
      <w:r w:rsidRPr="00AE47CA">
        <w:rPr>
          <w:b/>
          <w:lang w:val="pl-PL"/>
        </w:rPr>
        <w:t>1</w:t>
      </w:r>
      <w:r w:rsidR="00AD412F">
        <w:rPr>
          <w:b/>
          <w:lang w:val="pl-PL"/>
        </w:rPr>
        <w:t>3</w:t>
      </w:r>
      <w:r w:rsidRPr="00AE47CA">
        <w:rPr>
          <w:b/>
          <w:lang w:val="pl-PL"/>
        </w:rPr>
        <w:t>. Klauzula informacyjna RODO</w:t>
      </w:r>
    </w:p>
    <w:p w14:paraId="7710E002" w14:textId="77777777" w:rsidR="00EF391D" w:rsidRPr="00AE47CA" w:rsidRDefault="00000000" w:rsidP="00AE47CA">
      <w:pPr>
        <w:jc w:val="both"/>
        <w:rPr>
          <w:lang w:val="pl-PL"/>
        </w:rPr>
      </w:pPr>
      <w:r w:rsidRPr="00AE47CA">
        <w:rPr>
          <w:lang w:val="pl-PL"/>
        </w:rPr>
        <w:t xml:space="preserve">Administratorem danych osobowych jest </w:t>
      </w:r>
      <w:proofErr w:type="spellStart"/>
      <w:r w:rsidRPr="00AE47CA">
        <w:rPr>
          <w:lang w:val="pl-PL"/>
        </w:rPr>
        <w:t>Topcan</w:t>
      </w:r>
      <w:proofErr w:type="spellEnd"/>
      <w:r w:rsidRPr="00AE47CA">
        <w:rPr>
          <w:lang w:val="pl-PL"/>
        </w:rPr>
        <w:t xml:space="preserve"> Sp. z o.o. Dane przetwarzane są w celu przeprowadzenia postępowania ofertowego. Podstawą przetwarzania jest art. 6 ust. 1 lit. c RODO. Dane mogą być udostępniane instytucjom kontrolnym w ramach realizacji projektu. Przysługuje prawo dostępu do danych, ich sprostowania, ograniczenia przetwarzania oraz wniesienia skargi do Prezesa UODO.</w:t>
      </w:r>
    </w:p>
    <w:p w14:paraId="5D6EAF8D" w14:textId="53B9BF53" w:rsidR="00EF391D" w:rsidRPr="00AE47CA" w:rsidRDefault="00000000" w:rsidP="00AE47CA">
      <w:pPr>
        <w:spacing w:before="200" w:after="120"/>
        <w:jc w:val="both"/>
        <w:rPr>
          <w:lang w:val="pl-PL"/>
        </w:rPr>
      </w:pPr>
      <w:r w:rsidRPr="00AE47CA">
        <w:rPr>
          <w:b/>
          <w:lang w:val="pl-PL"/>
        </w:rPr>
        <w:t>1</w:t>
      </w:r>
      <w:r w:rsidR="00AD412F">
        <w:rPr>
          <w:b/>
          <w:lang w:val="pl-PL"/>
        </w:rPr>
        <w:t>4</w:t>
      </w:r>
      <w:r w:rsidRPr="00AE47CA">
        <w:rPr>
          <w:b/>
          <w:lang w:val="pl-PL"/>
        </w:rPr>
        <w:t>. Załączniki</w:t>
      </w:r>
    </w:p>
    <w:p w14:paraId="7A519F24" w14:textId="77777777" w:rsidR="00EF391D" w:rsidRPr="00AE47CA" w:rsidRDefault="00000000" w:rsidP="00AE47CA">
      <w:pPr>
        <w:spacing w:after="120"/>
        <w:jc w:val="both"/>
        <w:rPr>
          <w:lang w:val="pl-PL"/>
        </w:rPr>
      </w:pPr>
      <w:r w:rsidRPr="00AE47CA">
        <w:rPr>
          <w:lang w:val="pl-PL"/>
        </w:rPr>
        <w:t>Zał. nr 1 - Formularz ofertowy</w:t>
      </w:r>
    </w:p>
    <w:p w14:paraId="28533000" w14:textId="77777777" w:rsidR="00EF391D" w:rsidRPr="00AE47CA" w:rsidRDefault="00000000" w:rsidP="00AE47CA">
      <w:pPr>
        <w:spacing w:after="120"/>
        <w:jc w:val="both"/>
        <w:rPr>
          <w:lang w:val="pl-PL"/>
        </w:rPr>
      </w:pPr>
      <w:r w:rsidRPr="00AE47CA">
        <w:rPr>
          <w:lang w:val="pl-PL"/>
        </w:rPr>
        <w:t>Zał. nr 2 - Oświadczenie o braku powiązań osobowych/kapitałowych</w:t>
      </w:r>
    </w:p>
    <w:p w14:paraId="1A6536A9" w14:textId="77777777" w:rsidR="00EF391D" w:rsidRPr="00AE47CA" w:rsidRDefault="00000000" w:rsidP="00AE47CA">
      <w:pPr>
        <w:jc w:val="both"/>
        <w:rPr>
          <w:lang w:val="pl-PL"/>
        </w:rPr>
      </w:pPr>
      <w:r w:rsidRPr="00AE47CA">
        <w:rPr>
          <w:lang w:val="pl-PL"/>
        </w:rPr>
        <w:t>Zał. nr 3 - Wzór umowy</w:t>
      </w:r>
    </w:p>
    <w:p w14:paraId="37EEAFE3" w14:textId="00F89434" w:rsidR="00EF391D" w:rsidRPr="00AE47CA" w:rsidRDefault="00EF391D" w:rsidP="00AE47CA">
      <w:pPr>
        <w:jc w:val="both"/>
        <w:rPr>
          <w:lang w:val="pl-PL"/>
        </w:rPr>
      </w:pPr>
    </w:p>
    <w:sectPr w:rsidR="00EF391D" w:rsidRPr="00AE47CA" w:rsidSect="00034616">
      <w:headerReference w:type="default" r:id="rId8"/>
      <w:footerReference w:type="default" r:id="rId9"/>
      <w:pgSz w:w="12240" w:h="15840"/>
      <w:pgMar w:top="1134" w:right="1417" w:bottom="1134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30D75" w14:textId="77777777" w:rsidR="00FA3F0A" w:rsidRDefault="00FA3F0A" w:rsidP="00174559">
      <w:pPr>
        <w:spacing w:after="0" w:line="240" w:lineRule="auto"/>
      </w:pPr>
      <w:r>
        <w:separator/>
      </w:r>
    </w:p>
  </w:endnote>
  <w:endnote w:type="continuationSeparator" w:id="0">
    <w:p w14:paraId="4296A004" w14:textId="77777777" w:rsidR="00FA3F0A" w:rsidRDefault="00FA3F0A" w:rsidP="00174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79D7C" w14:textId="51BC83B4" w:rsidR="00994828" w:rsidRPr="00071F74" w:rsidRDefault="4B4F9282" w:rsidP="2912182D">
    <w:pPr>
      <w:spacing w:after="0"/>
      <w:jc w:val="center"/>
      <w:rPr>
        <w:lang w:val="pl-PL"/>
      </w:rPr>
    </w:pPr>
    <w:proofErr w:type="spellStart"/>
    <w:r w:rsidRPr="00071F74">
      <w:rPr>
        <w:rFonts w:cs="Calibri"/>
        <w:color w:val="31869B"/>
        <w:sz w:val="16"/>
        <w:szCs w:val="16"/>
        <w:lang w:val="pl-PL"/>
      </w:rPr>
      <w:t>Topcan</w:t>
    </w:r>
    <w:proofErr w:type="spellEnd"/>
    <w:r w:rsidRPr="00071F74">
      <w:rPr>
        <w:rFonts w:cs="Calibri"/>
        <w:color w:val="31869B"/>
        <w:sz w:val="16"/>
        <w:szCs w:val="16"/>
        <w:lang w:val="pl-PL"/>
      </w:rPr>
      <w:t xml:space="preserve"> Sp. z o.o. Śniadeckich 20/1, 00-656 Warszawa, NIP 701-107-11-25, REGON 521062756, KRS: 0000948619</w:t>
    </w:r>
    <w:r w:rsidR="6261C318" w:rsidRPr="00071F74">
      <w:rPr>
        <w:rFonts w:cs="Calibri"/>
        <w:color w:val="31869B"/>
        <w:sz w:val="16"/>
        <w:szCs w:val="16"/>
        <w:lang w:val="pl-PL"/>
      </w:rPr>
      <w:t xml:space="preserve"> </w:t>
    </w:r>
    <w:r w:rsidRPr="00071F74">
      <w:rPr>
        <w:rFonts w:cs="Calibri"/>
        <w:color w:val="31869B"/>
        <w:sz w:val="16"/>
        <w:szCs w:val="16"/>
        <w:lang w:val="pl-PL"/>
      </w:rPr>
      <w:t xml:space="preserve">Sąd Rejonowy </w:t>
    </w:r>
  </w:p>
  <w:p w14:paraId="4527EA48" w14:textId="6B4E8DAC" w:rsidR="00994828" w:rsidRPr="00071F74" w:rsidRDefault="4B4F9282" w:rsidP="6944670B">
    <w:pPr>
      <w:spacing w:after="0"/>
      <w:jc w:val="center"/>
      <w:rPr>
        <w:rFonts w:cs="Calibri"/>
        <w:color w:val="31869B"/>
        <w:sz w:val="16"/>
        <w:szCs w:val="16"/>
        <w:lang w:val="pl-PL"/>
      </w:rPr>
    </w:pPr>
    <w:r w:rsidRPr="00071F74">
      <w:rPr>
        <w:rFonts w:cs="Calibri"/>
        <w:color w:val="31869B"/>
        <w:sz w:val="16"/>
        <w:szCs w:val="16"/>
        <w:lang w:val="pl-PL"/>
      </w:rPr>
      <w:t>dla m. st. Warszawy w Warszawie, XII Wydział Gospodarczy Krajowego Rejestru Sądowego Wysokość kapitału zakładowego 5000,00 zł.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DF0447" w14:textId="77777777" w:rsidR="00FA3F0A" w:rsidRDefault="00FA3F0A" w:rsidP="00174559">
      <w:pPr>
        <w:spacing w:after="0" w:line="240" w:lineRule="auto"/>
      </w:pPr>
      <w:r>
        <w:separator/>
      </w:r>
    </w:p>
  </w:footnote>
  <w:footnote w:type="continuationSeparator" w:id="0">
    <w:p w14:paraId="380D73C0" w14:textId="77777777" w:rsidR="00FA3F0A" w:rsidRDefault="00FA3F0A" w:rsidP="00174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8C661" w14:textId="00F3DA43" w:rsidR="00174559" w:rsidRDefault="00174559">
    <w:pPr>
      <w:pStyle w:val="Nagwek"/>
    </w:pPr>
    <w:r>
      <w:rPr>
        <w:noProof/>
      </w:rPr>
      <w:drawing>
        <wp:inline distT="0" distB="0" distL="0" distR="0" wp14:anchorId="2608E939" wp14:editId="3EE801FB">
          <wp:extent cx="5486400" cy="504825"/>
          <wp:effectExtent l="0" t="0" r="0" b="0"/>
          <wp:docPr id="204155954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925386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504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C0D4E90" w14:textId="77777777" w:rsidR="00174559" w:rsidRDefault="001745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0862F56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B1902A8"/>
    <w:multiLevelType w:val="hybridMultilevel"/>
    <w:tmpl w:val="E5D49F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4410E9"/>
    <w:multiLevelType w:val="hybridMultilevel"/>
    <w:tmpl w:val="2BBACD0A"/>
    <w:lvl w:ilvl="0" w:tplc="5B8C6AB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7134792">
    <w:abstractNumId w:val="8"/>
  </w:num>
  <w:num w:numId="2" w16cid:durableId="557790115">
    <w:abstractNumId w:val="6"/>
  </w:num>
  <w:num w:numId="3" w16cid:durableId="443767397">
    <w:abstractNumId w:val="5"/>
  </w:num>
  <w:num w:numId="4" w16cid:durableId="466096411">
    <w:abstractNumId w:val="4"/>
  </w:num>
  <w:num w:numId="5" w16cid:durableId="538736427">
    <w:abstractNumId w:val="7"/>
  </w:num>
  <w:num w:numId="6" w16cid:durableId="1595745230">
    <w:abstractNumId w:val="3"/>
  </w:num>
  <w:num w:numId="7" w16cid:durableId="2091464849">
    <w:abstractNumId w:val="2"/>
  </w:num>
  <w:num w:numId="8" w16cid:durableId="1575046662">
    <w:abstractNumId w:val="1"/>
  </w:num>
  <w:num w:numId="9" w16cid:durableId="1488863017">
    <w:abstractNumId w:val="0"/>
  </w:num>
  <w:num w:numId="10" w16cid:durableId="1183594528">
    <w:abstractNumId w:val="9"/>
  </w:num>
  <w:num w:numId="11" w16cid:durableId="86502205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221B2"/>
    <w:rsid w:val="00034616"/>
    <w:rsid w:val="00035863"/>
    <w:rsid w:val="000505AC"/>
    <w:rsid w:val="000557D8"/>
    <w:rsid w:val="0006063C"/>
    <w:rsid w:val="0006139C"/>
    <w:rsid w:val="000626EE"/>
    <w:rsid w:val="00064963"/>
    <w:rsid w:val="00071BF6"/>
    <w:rsid w:val="00071F74"/>
    <w:rsid w:val="000932D7"/>
    <w:rsid w:val="0009592F"/>
    <w:rsid w:val="000A2746"/>
    <w:rsid w:val="000C2CB9"/>
    <w:rsid w:val="000C3BB4"/>
    <w:rsid w:val="000C520C"/>
    <w:rsid w:val="000D6258"/>
    <w:rsid w:val="000E59E1"/>
    <w:rsid w:val="000E5F4F"/>
    <w:rsid w:val="00102447"/>
    <w:rsid w:val="001053F2"/>
    <w:rsid w:val="00107289"/>
    <w:rsid w:val="0010791B"/>
    <w:rsid w:val="00107A2E"/>
    <w:rsid w:val="00145B21"/>
    <w:rsid w:val="00147EB8"/>
    <w:rsid w:val="0015074B"/>
    <w:rsid w:val="00154A2B"/>
    <w:rsid w:val="001641C5"/>
    <w:rsid w:val="00165736"/>
    <w:rsid w:val="00170EBC"/>
    <w:rsid w:val="00173BB1"/>
    <w:rsid w:val="00174559"/>
    <w:rsid w:val="00175BC6"/>
    <w:rsid w:val="00185A3E"/>
    <w:rsid w:val="00185D35"/>
    <w:rsid w:val="00192512"/>
    <w:rsid w:val="001B02DD"/>
    <w:rsid w:val="001C0B57"/>
    <w:rsid w:val="001D347E"/>
    <w:rsid w:val="001D57F9"/>
    <w:rsid w:val="001D6134"/>
    <w:rsid w:val="0020085C"/>
    <w:rsid w:val="00226C5D"/>
    <w:rsid w:val="00230167"/>
    <w:rsid w:val="002343A6"/>
    <w:rsid w:val="002374DF"/>
    <w:rsid w:val="0025577C"/>
    <w:rsid w:val="00257D12"/>
    <w:rsid w:val="002625B0"/>
    <w:rsid w:val="002747BF"/>
    <w:rsid w:val="00281239"/>
    <w:rsid w:val="00286777"/>
    <w:rsid w:val="002917EB"/>
    <w:rsid w:val="0029639D"/>
    <w:rsid w:val="002B05F9"/>
    <w:rsid w:val="002B5667"/>
    <w:rsid w:val="002C2CF9"/>
    <w:rsid w:val="002C5386"/>
    <w:rsid w:val="002C5EC9"/>
    <w:rsid w:val="002E0282"/>
    <w:rsid w:val="002E03F4"/>
    <w:rsid w:val="002E356E"/>
    <w:rsid w:val="002E5CFC"/>
    <w:rsid w:val="002F5C37"/>
    <w:rsid w:val="00302F35"/>
    <w:rsid w:val="00326F90"/>
    <w:rsid w:val="0033081E"/>
    <w:rsid w:val="0033111F"/>
    <w:rsid w:val="003414D2"/>
    <w:rsid w:val="00372250"/>
    <w:rsid w:val="00386EA6"/>
    <w:rsid w:val="00386EC7"/>
    <w:rsid w:val="00391182"/>
    <w:rsid w:val="00394464"/>
    <w:rsid w:val="003964E1"/>
    <w:rsid w:val="003A0645"/>
    <w:rsid w:val="003A42A0"/>
    <w:rsid w:val="003A6E95"/>
    <w:rsid w:val="003A7BBC"/>
    <w:rsid w:val="003B1ED5"/>
    <w:rsid w:val="003B5028"/>
    <w:rsid w:val="003C0397"/>
    <w:rsid w:val="003C2A87"/>
    <w:rsid w:val="003E4B98"/>
    <w:rsid w:val="003E4FB0"/>
    <w:rsid w:val="003F3194"/>
    <w:rsid w:val="003F4B43"/>
    <w:rsid w:val="00400435"/>
    <w:rsid w:val="00413CBC"/>
    <w:rsid w:val="00416E5C"/>
    <w:rsid w:val="004530CE"/>
    <w:rsid w:val="00460988"/>
    <w:rsid w:val="00485802"/>
    <w:rsid w:val="004943A2"/>
    <w:rsid w:val="004C68C7"/>
    <w:rsid w:val="004C7A47"/>
    <w:rsid w:val="004E55F8"/>
    <w:rsid w:val="004F0B2B"/>
    <w:rsid w:val="004F50C6"/>
    <w:rsid w:val="004F5A78"/>
    <w:rsid w:val="005076C5"/>
    <w:rsid w:val="00510A52"/>
    <w:rsid w:val="00514E62"/>
    <w:rsid w:val="00532A0F"/>
    <w:rsid w:val="005464B2"/>
    <w:rsid w:val="00556539"/>
    <w:rsid w:val="00574442"/>
    <w:rsid w:val="00587D42"/>
    <w:rsid w:val="005A6E5E"/>
    <w:rsid w:val="005C527E"/>
    <w:rsid w:val="005C7824"/>
    <w:rsid w:val="005D0E6F"/>
    <w:rsid w:val="005F6498"/>
    <w:rsid w:val="00604744"/>
    <w:rsid w:val="00631484"/>
    <w:rsid w:val="0063320A"/>
    <w:rsid w:val="00633312"/>
    <w:rsid w:val="006336D5"/>
    <w:rsid w:val="006401B1"/>
    <w:rsid w:val="0064144D"/>
    <w:rsid w:val="00651A16"/>
    <w:rsid w:val="00655CE1"/>
    <w:rsid w:val="00664DAD"/>
    <w:rsid w:val="00665EC3"/>
    <w:rsid w:val="00686989"/>
    <w:rsid w:val="006C0924"/>
    <w:rsid w:val="006D34DA"/>
    <w:rsid w:val="006D40A9"/>
    <w:rsid w:val="006E5B6A"/>
    <w:rsid w:val="006E5CB5"/>
    <w:rsid w:val="006F6861"/>
    <w:rsid w:val="007170F3"/>
    <w:rsid w:val="007215B7"/>
    <w:rsid w:val="007320E5"/>
    <w:rsid w:val="007356B1"/>
    <w:rsid w:val="00740C1F"/>
    <w:rsid w:val="00751240"/>
    <w:rsid w:val="00774F7D"/>
    <w:rsid w:val="00776867"/>
    <w:rsid w:val="00780DF2"/>
    <w:rsid w:val="007B4ACD"/>
    <w:rsid w:val="007D4A8D"/>
    <w:rsid w:val="007D4DFA"/>
    <w:rsid w:val="007E1D18"/>
    <w:rsid w:val="007E3920"/>
    <w:rsid w:val="007F23AB"/>
    <w:rsid w:val="00802305"/>
    <w:rsid w:val="008042F0"/>
    <w:rsid w:val="00814E72"/>
    <w:rsid w:val="0083529C"/>
    <w:rsid w:val="00844780"/>
    <w:rsid w:val="008476CE"/>
    <w:rsid w:val="00856762"/>
    <w:rsid w:val="0085714E"/>
    <w:rsid w:val="00893578"/>
    <w:rsid w:val="008B2BEA"/>
    <w:rsid w:val="008B4E84"/>
    <w:rsid w:val="008E5F27"/>
    <w:rsid w:val="00934C0E"/>
    <w:rsid w:val="00943EB8"/>
    <w:rsid w:val="00944404"/>
    <w:rsid w:val="009459A7"/>
    <w:rsid w:val="00957BFC"/>
    <w:rsid w:val="00961A91"/>
    <w:rsid w:val="00971445"/>
    <w:rsid w:val="00975246"/>
    <w:rsid w:val="00994828"/>
    <w:rsid w:val="009A4E29"/>
    <w:rsid w:val="009D1CA0"/>
    <w:rsid w:val="009F1C6D"/>
    <w:rsid w:val="009F71C7"/>
    <w:rsid w:val="00A01F89"/>
    <w:rsid w:val="00A223D2"/>
    <w:rsid w:val="00A23F26"/>
    <w:rsid w:val="00A35A57"/>
    <w:rsid w:val="00A3624D"/>
    <w:rsid w:val="00A55A03"/>
    <w:rsid w:val="00A5636D"/>
    <w:rsid w:val="00A83CA1"/>
    <w:rsid w:val="00A86D63"/>
    <w:rsid w:val="00A928CD"/>
    <w:rsid w:val="00AA1D8D"/>
    <w:rsid w:val="00AA5085"/>
    <w:rsid w:val="00AB58C9"/>
    <w:rsid w:val="00AD2000"/>
    <w:rsid w:val="00AD412F"/>
    <w:rsid w:val="00AE47CA"/>
    <w:rsid w:val="00AF234B"/>
    <w:rsid w:val="00AF38D9"/>
    <w:rsid w:val="00AF3AF2"/>
    <w:rsid w:val="00AF62E6"/>
    <w:rsid w:val="00B323B7"/>
    <w:rsid w:val="00B350A8"/>
    <w:rsid w:val="00B40C74"/>
    <w:rsid w:val="00B47730"/>
    <w:rsid w:val="00B54291"/>
    <w:rsid w:val="00B8203E"/>
    <w:rsid w:val="00BC2144"/>
    <w:rsid w:val="00BD3B4A"/>
    <w:rsid w:val="00BE08BF"/>
    <w:rsid w:val="00BE509E"/>
    <w:rsid w:val="00BE7DE6"/>
    <w:rsid w:val="00BF0A49"/>
    <w:rsid w:val="00BF623A"/>
    <w:rsid w:val="00C00D14"/>
    <w:rsid w:val="00C021F8"/>
    <w:rsid w:val="00C145B2"/>
    <w:rsid w:val="00C21A10"/>
    <w:rsid w:val="00C30857"/>
    <w:rsid w:val="00C36001"/>
    <w:rsid w:val="00C65E8C"/>
    <w:rsid w:val="00C72698"/>
    <w:rsid w:val="00C758B1"/>
    <w:rsid w:val="00CA7E75"/>
    <w:rsid w:val="00CB0664"/>
    <w:rsid w:val="00CB488E"/>
    <w:rsid w:val="00CE74B4"/>
    <w:rsid w:val="00CF223B"/>
    <w:rsid w:val="00CF32F2"/>
    <w:rsid w:val="00D022BA"/>
    <w:rsid w:val="00D07D20"/>
    <w:rsid w:val="00D16148"/>
    <w:rsid w:val="00D22B01"/>
    <w:rsid w:val="00D27D8F"/>
    <w:rsid w:val="00D3547B"/>
    <w:rsid w:val="00D677A8"/>
    <w:rsid w:val="00D76612"/>
    <w:rsid w:val="00D849D3"/>
    <w:rsid w:val="00D87AD7"/>
    <w:rsid w:val="00D93132"/>
    <w:rsid w:val="00DD19CE"/>
    <w:rsid w:val="00DD324A"/>
    <w:rsid w:val="00DE0CD9"/>
    <w:rsid w:val="00E06375"/>
    <w:rsid w:val="00E06764"/>
    <w:rsid w:val="00E215C1"/>
    <w:rsid w:val="00E237EC"/>
    <w:rsid w:val="00E50A01"/>
    <w:rsid w:val="00E55450"/>
    <w:rsid w:val="00E73556"/>
    <w:rsid w:val="00E75545"/>
    <w:rsid w:val="00E91939"/>
    <w:rsid w:val="00EA1DD0"/>
    <w:rsid w:val="00EA5493"/>
    <w:rsid w:val="00EC0F18"/>
    <w:rsid w:val="00ED309E"/>
    <w:rsid w:val="00ED3405"/>
    <w:rsid w:val="00EE2F95"/>
    <w:rsid w:val="00EE3B25"/>
    <w:rsid w:val="00EF391D"/>
    <w:rsid w:val="00F06398"/>
    <w:rsid w:val="00F065A1"/>
    <w:rsid w:val="00F06CE6"/>
    <w:rsid w:val="00F13F8E"/>
    <w:rsid w:val="00F30834"/>
    <w:rsid w:val="00F56505"/>
    <w:rsid w:val="00F628D2"/>
    <w:rsid w:val="00F70042"/>
    <w:rsid w:val="00F733C3"/>
    <w:rsid w:val="00F856A1"/>
    <w:rsid w:val="00F90166"/>
    <w:rsid w:val="00FA3F0A"/>
    <w:rsid w:val="00FA7B10"/>
    <w:rsid w:val="00FB5EA7"/>
    <w:rsid w:val="00FC693F"/>
    <w:rsid w:val="00FE26D6"/>
    <w:rsid w:val="095BA2A2"/>
    <w:rsid w:val="119EBC20"/>
    <w:rsid w:val="1DE71A85"/>
    <w:rsid w:val="26468BAD"/>
    <w:rsid w:val="2912182D"/>
    <w:rsid w:val="2E12AD11"/>
    <w:rsid w:val="44CCF042"/>
    <w:rsid w:val="46B6F8D9"/>
    <w:rsid w:val="4780B280"/>
    <w:rsid w:val="47987E40"/>
    <w:rsid w:val="489AB912"/>
    <w:rsid w:val="4B2195B1"/>
    <w:rsid w:val="4B4F9282"/>
    <w:rsid w:val="4EC9EC28"/>
    <w:rsid w:val="50B735E9"/>
    <w:rsid w:val="5157E33A"/>
    <w:rsid w:val="5529EC7D"/>
    <w:rsid w:val="5A818C82"/>
    <w:rsid w:val="6261C318"/>
    <w:rsid w:val="62FB90BE"/>
    <w:rsid w:val="6944670B"/>
    <w:rsid w:val="6EC62BCC"/>
    <w:rsid w:val="6F73FAF2"/>
    <w:rsid w:val="6FEECC42"/>
    <w:rsid w:val="75B37B7D"/>
    <w:rsid w:val="7A33D7B2"/>
    <w:rsid w:val="7B883B59"/>
    <w:rsid w:val="7DD7F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1EE450C"/>
  <w14:defaultImageDpi w14:val="300"/>
  <w15:docId w15:val="{83D199E7-7980-430B-80CD-97E554D07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AE47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E47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E47CA"/>
    <w:rPr>
      <w:rFonts w:ascii="Calibri" w:eastAsia="Calibri" w:hAnsi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47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47CA"/>
    <w:rPr>
      <w:rFonts w:ascii="Calibri" w:eastAsia="Calibri" w:hAnsi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6</Pages>
  <Words>1590</Words>
  <Characters>9545</Characters>
  <Application>Microsoft Office Word</Application>
  <DocSecurity>0</DocSecurity>
  <Lines>79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11113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Karolina Piądłowska-Firlej</cp:lastModifiedBy>
  <cp:revision>147</cp:revision>
  <dcterms:created xsi:type="dcterms:W3CDTF">2026-01-07T12:52:00Z</dcterms:created>
  <dcterms:modified xsi:type="dcterms:W3CDTF">2026-01-26T06:21:00Z</dcterms:modified>
  <cp:category/>
</cp:coreProperties>
</file>