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C84A6" w14:textId="7613E271" w:rsidR="00227B79" w:rsidRPr="00227B79" w:rsidRDefault="00227B79" w:rsidP="00227B79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227B79">
        <w:rPr>
          <w:rFonts w:ascii="Calibri" w:hAnsi="Calibri" w:cs="Calibri"/>
          <w:b/>
          <w:bCs/>
          <w:sz w:val="24"/>
          <w:szCs w:val="24"/>
        </w:rPr>
        <w:t xml:space="preserve">Oświadczenie o braku podstaw </w:t>
      </w:r>
      <w:r w:rsidR="000727EF">
        <w:rPr>
          <w:rFonts w:ascii="Calibri" w:hAnsi="Calibri" w:cs="Calibri"/>
          <w:b/>
          <w:bCs/>
          <w:sz w:val="24"/>
          <w:szCs w:val="24"/>
        </w:rPr>
        <w:t xml:space="preserve">do </w:t>
      </w:r>
      <w:r w:rsidRPr="00227B79">
        <w:rPr>
          <w:rFonts w:ascii="Calibri" w:hAnsi="Calibri" w:cs="Calibri"/>
          <w:b/>
          <w:bCs/>
          <w:sz w:val="24"/>
          <w:szCs w:val="24"/>
        </w:rPr>
        <w:t>wykluczenia</w:t>
      </w:r>
    </w:p>
    <w:p w14:paraId="30B5021A" w14:textId="77777777" w:rsidR="00377C96" w:rsidRDefault="00377C96" w:rsidP="00227B79">
      <w:pPr>
        <w:rPr>
          <w:rFonts w:ascii="Calibri" w:hAnsi="Calibri" w:cs="Calibri"/>
          <w:b/>
          <w:bCs/>
          <w:sz w:val="20"/>
          <w:szCs w:val="20"/>
        </w:rPr>
      </w:pPr>
    </w:p>
    <w:p w14:paraId="2CB980D0" w14:textId="6A1131EB" w:rsidR="00227B79" w:rsidRPr="00227B79" w:rsidRDefault="00227B79" w:rsidP="00227B79">
      <w:pPr>
        <w:rPr>
          <w:rFonts w:ascii="Calibri" w:hAnsi="Calibri" w:cs="Calibri"/>
          <w:b/>
          <w:bCs/>
          <w:sz w:val="20"/>
          <w:szCs w:val="20"/>
        </w:rPr>
      </w:pPr>
      <w:r w:rsidRPr="00227B79">
        <w:rPr>
          <w:rFonts w:ascii="Calibri" w:hAnsi="Calibri" w:cs="Calibri"/>
          <w:b/>
          <w:bCs/>
          <w:sz w:val="20"/>
          <w:szCs w:val="20"/>
        </w:rPr>
        <w:t>Nazwa Wykonawcy:</w:t>
      </w:r>
    </w:p>
    <w:p w14:paraId="638F815B" w14:textId="77777777" w:rsidR="00227B79" w:rsidRDefault="00227B79" w:rsidP="00227B79">
      <w:pPr>
        <w:tabs>
          <w:tab w:val="left" w:pos="8505"/>
          <w:tab w:val="left" w:pos="13608"/>
        </w:tabs>
        <w:spacing w:line="276" w:lineRule="auto"/>
        <w:rPr>
          <w:rFonts w:ascii="Calibri" w:hAnsi="Calibri" w:cs="Calibri"/>
          <w:b/>
          <w:bCs/>
          <w:sz w:val="20"/>
          <w:szCs w:val="20"/>
        </w:rPr>
      </w:pPr>
      <w:r w:rsidRPr="00227B79">
        <w:rPr>
          <w:rFonts w:ascii="Calibri" w:hAnsi="Calibri" w:cs="Calibri"/>
          <w:b/>
          <w:bCs/>
          <w:sz w:val="20"/>
          <w:szCs w:val="20"/>
        </w:rPr>
        <w:t>NIP:</w:t>
      </w:r>
    </w:p>
    <w:p w14:paraId="236B9201" w14:textId="77777777" w:rsidR="00227B79" w:rsidRDefault="00227B79" w:rsidP="00227B79">
      <w:pPr>
        <w:rPr>
          <w:rFonts w:ascii="Calibri" w:hAnsi="Calibri" w:cs="Calibri"/>
          <w:sz w:val="20"/>
          <w:szCs w:val="20"/>
        </w:rPr>
      </w:pPr>
    </w:p>
    <w:p w14:paraId="13626776" w14:textId="2F222C2B" w:rsidR="00227B79" w:rsidRPr="00227B79" w:rsidRDefault="00227B79" w:rsidP="00227B79">
      <w:pPr>
        <w:rPr>
          <w:rFonts w:ascii="Calibri" w:hAnsi="Calibri" w:cs="Calibri"/>
          <w:sz w:val="20"/>
          <w:szCs w:val="20"/>
        </w:rPr>
      </w:pPr>
      <w:r w:rsidRPr="00227B79">
        <w:rPr>
          <w:rFonts w:ascii="Calibri" w:hAnsi="Calibri" w:cs="Calibri"/>
          <w:sz w:val="20"/>
          <w:szCs w:val="20"/>
        </w:rPr>
        <w:t>Składając ofertę do Zapytania ofertowego nr</w:t>
      </w:r>
      <w:r w:rsidR="00F37B15">
        <w:rPr>
          <w:rFonts w:ascii="Calibri" w:hAnsi="Calibri" w:cs="Calibri"/>
          <w:sz w:val="20"/>
          <w:szCs w:val="20"/>
        </w:rPr>
        <w:t xml:space="preserve"> </w:t>
      </w:r>
      <w:r w:rsidR="00F03779">
        <w:rPr>
          <w:rFonts w:ascii="Calibri" w:hAnsi="Calibri" w:cs="Calibri"/>
          <w:b/>
          <w:bCs/>
          <w:sz w:val="20"/>
          <w:szCs w:val="20"/>
        </w:rPr>
        <w:t>5</w:t>
      </w:r>
      <w:r w:rsidRPr="00F37B15">
        <w:rPr>
          <w:rFonts w:ascii="Calibri" w:hAnsi="Calibri" w:cs="Calibri"/>
          <w:b/>
          <w:bCs/>
          <w:sz w:val="20"/>
          <w:szCs w:val="20"/>
        </w:rPr>
        <w:t>/</w:t>
      </w:r>
      <w:r w:rsidR="00F37B15">
        <w:rPr>
          <w:rFonts w:ascii="Calibri" w:hAnsi="Calibri" w:cs="Calibri"/>
          <w:b/>
          <w:bCs/>
          <w:sz w:val="20"/>
          <w:szCs w:val="20"/>
        </w:rPr>
        <w:t>KE</w:t>
      </w:r>
      <w:r w:rsidRPr="00227B79">
        <w:rPr>
          <w:rFonts w:ascii="Calibri" w:hAnsi="Calibri" w:cs="Calibri"/>
          <w:sz w:val="20"/>
          <w:szCs w:val="20"/>
        </w:rPr>
        <w:t xml:space="preserve"> oświadczam, że:</w:t>
      </w:r>
    </w:p>
    <w:p w14:paraId="18BF5C16" w14:textId="77777777" w:rsidR="00227B79" w:rsidRDefault="00227B79" w:rsidP="00227B79">
      <w:pPr>
        <w:pStyle w:val="Akapitzlist"/>
        <w:ind w:left="709"/>
        <w:jc w:val="both"/>
        <w:rPr>
          <w:rFonts w:ascii="Calibri" w:hAnsi="Calibri" w:cs="Calibri"/>
          <w:sz w:val="20"/>
          <w:szCs w:val="20"/>
        </w:rPr>
      </w:pPr>
    </w:p>
    <w:p w14:paraId="2677143E" w14:textId="5D76654A" w:rsidR="00227B79" w:rsidRPr="00227B79" w:rsidRDefault="00227B79" w:rsidP="00227B79">
      <w:pPr>
        <w:pStyle w:val="Akapitzlist"/>
        <w:numPr>
          <w:ilvl w:val="0"/>
          <w:numId w:val="6"/>
        </w:numPr>
        <w:ind w:left="709"/>
        <w:jc w:val="both"/>
        <w:rPr>
          <w:rFonts w:ascii="Calibri" w:hAnsi="Calibri" w:cs="Calibri"/>
          <w:sz w:val="20"/>
          <w:szCs w:val="20"/>
        </w:rPr>
      </w:pPr>
      <w:r w:rsidRPr="00227B79">
        <w:rPr>
          <w:rFonts w:ascii="Calibri" w:hAnsi="Calibri" w:cs="Calibri"/>
          <w:sz w:val="20"/>
          <w:szCs w:val="20"/>
        </w:rPr>
        <w:t>Wykonawca</w:t>
      </w:r>
      <w:r w:rsidR="00195F28">
        <w:rPr>
          <w:rFonts w:ascii="Calibri" w:hAnsi="Calibri" w:cs="Calibri"/>
          <w:sz w:val="20"/>
          <w:szCs w:val="20"/>
        </w:rPr>
        <w:t xml:space="preserve">, którego reprezentuję </w:t>
      </w:r>
      <w:r w:rsidRPr="00227B79">
        <w:rPr>
          <w:rFonts w:ascii="Calibri" w:hAnsi="Calibri" w:cs="Calibri"/>
          <w:sz w:val="20"/>
          <w:szCs w:val="20"/>
        </w:rPr>
        <w:t>nie jest powiązany osobowo lub kapitałowo z Zamawiającym</w:t>
      </w:r>
      <w:r>
        <w:rPr>
          <w:rFonts w:ascii="Calibri" w:hAnsi="Calibri" w:cs="Calibri"/>
          <w:sz w:val="20"/>
          <w:szCs w:val="20"/>
        </w:rPr>
        <w:t>.</w:t>
      </w:r>
    </w:p>
    <w:p w14:paraId="415051E2" w14:textId="639E8F5A" w:rsidR="00227B79" w:rsidRPr="00227B79" w:rsidRDefault="00227B79" w:rsidP="00227B79">
      <w:pPr>
        <w:pStyle w:val="Akapitzlist"/>
        <w:ind w:left="709"/>
        <w:jc w:val="both"/>
        <w:rPr>
          <w:rFonts w:ascii="Calibri" w:hAnsi="Calibri" w:cs="Calibri"/>
          <w:sz w:val="20"/>
          <w:szCs w:val="20"/>
        </w:rPr>
      </w:pPr>
      <w:r w:rsidRPr="00227B79">
        <w:rPr>
          <w:rFonts w:ascii="Calibri" w:hAnsi="Calibri" w:cs="Calibri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lub osobami wykonującymi w imieniu </w:t>
      </w:r>
      <w:r w:rsidR="00195F28">
        <w:rPr>
          <w:rFonts w:ascii="Calibri" w:hAnsi="Calibri" w:cs="Calibri"/>
          <w:sz w:val="20"/>
          <w:szCs w:val="20"/>
        </w:rPr>
        <w:t>Z</w:t>
      </w:r>
      <w:r w:rsidRPr="00227B79">
        <w:rPr>
          <w:rFonts w:ascii="Calibri" w:hAnsi="Calibri" w:cs="Calibri"/>
          <w:sz w:val="20"/>
          <w:szCs w:val="20"/>
        </w:rPr>
        <w:t>amawiającego czynności związane z przeprowadzeniem procedury wyboru wykonawcy a wykonawcą, polegające w szczególności na:</w:t>
      </w:r>
    </w:p>
    <w:p w14:paraId="41623041" w14:textId="77777777" w:rsidR="00227B79" w:rsidRPr="00227B79" w:rsidRDefault="00227B79" w:rsidP="00227B79">
      <w:pPr>
        <w:pStyle w:val="Akapitzlist"/>
        <w:numPr>
          <w:ilvl w:val="0"/>
          <w:numId w:val="7"/>
        </w:numPr>
        <w:ind w:left="1134"/>
        <w:jc w:val="both"/>
        <w:rPr>
          <w:rFonts w:ascii="Calibri" w:hAnsi="Calibri" w:cs="Calibri"/>
          <w:sz w:val="20"/>
          <w:szCs w:val="20"/>
        </w:rPr>
      </w:pPr>
      <w:r w:rsidRPr="00227B79">
        <w:rPr>
          <w:rFonts w:ascii="Calibri" w:hAnsi="Calibri" w:cs="Calibri"/>
          <w:sz w:val="20"/>
          <w:szCs w:val="2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6EE20FB1" w14:textId="77777777" w:rsidR="00227B79" w:rsidRPr="00227B79" w:rsidRDefault="00227B79" w:rsidP="00227B79">
      <w:pPr>
        <w:pStyle w:val="Akapitzlist"/>
        <w:numPr>
          <w:ilvl w:val="0"/>
          <w:numId w:val="7"/>
        </w:numPr>
        <w:ind w:left="1134"/>
        <w:jc w:val="both"/>
        <w:rPr>
          <w:rFonts w:ascii="Calibri" w:hAnsi="Calibri" w:cs="Calibri"/>
          <w:sz w:val="20"/>
          <w:szCs w:val="20"/>
        </w:rPr>
      </w:pPr>
      <w:r w:rsidRPr="00227B79">
        <w:rPr>
          <w:rFonts w:ascii="Calibri" w:hAnsi="Calibri" w:cs="Calibri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7180F095" w14:textId="77777777" w:rsidR="00227B79" w:rsidRPr="00227B79" w:rsidRDefault="00227B79" w:rsidP="00227B79">
      <w:pPr>
        <w:pStyle w:val="Akapitzlist"/>
        <w:numPr>
          <w:ilvl w:val="0"/>
          <w:numId w:val="7"/>
        </w:numPr>
        <w:ind w:left="1134"/>
        <w:jc w:val="both"/>
        <w:rPr>
          <w:rFonts w:ascii="Calibri" w:hAnsi="Calibri" w:cs="Calibri"/>
          <w:sz w:val="20"/>
          <w:szCs w:val="20"/>
        </w:rPr>
      </w:pPr>
      <w:r w:rsidRPr="00227B79">
        <w:rPr>
          <w:rFonts w:ascii="Calibri" w:hAnsi="Calibri" w:cs="Calibr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D5A1D94" w14:textId="19D054BB" w:rsidR="006E7619" w:rsidRPr="00227B79" w:rsidRDefault="006E7619" w:rsidP="00227B79">
      <w:pPr>
        <w:pStyle w:val="Akapitzlist"/>
        <w:numPr>
          <w:ilvl w:val="0"/>
          <w:numId w:val="6"/>
        </w:numPr>
        <w:ind w:left="709"/>
        <w:jc w:val="both"/>
        <w:rPr>
          <w:rFonts w:ascii="Calibri" w:eastAsia="Lucida Sans Unicode" w:hAnsi="Calibri" w:cs="Calibri"/>
          <w:sz w:val="20"/>
          <w:szCs w:val="20"/>
          <w:lang w:eastAsia="ar-SA"/>
        </w:rPr>
      </w:pPr>
      <w:bookmarkStart w:id="0" w:name="_Hlk198548623"/>
      <w:r w:rsidRPr="00227B79">
        <w:rPr>
          <w:rFonts w:ascii="Calibri" w:hAnsi="Calibri" w:cs="Calibri"/>
          <w:sz w:val="20"/>
          <w:szCs w:val="20"/>
        </w:rPr>
        <w:t>wobec</w:t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 xml:space="preserve"> W</w:t>
      </w:r>
      <w:r w:rsidR="00962FC7" w:rsidRPr="00227B79">
        <w:rPr>
          <w:rFonts w:ascii="Calibri" w:eastAsia="Lucida Sans Unicode" w:hAnsi="Calibri" w:cs="Calibri"/>
          <w:sz w:val="20"/>
          <w:szCs w:val="20"/>
          <w:lang w:eastAsia="ar-SA"/>
        </w:rPr>
        <w:t>ykonawcy</w:t>
      </w:r>
      <w:r w:rsidR="00195F28">
        <w:rPr>
          <w:rFonts w:ascii="Calibri" w:eastAsia="Lucida Sans Unicode" w:hAnsi="Calibri" w:cs="Calibri"/>
          <w:sz w:val="20"/>
          <w:szCs w:val="20"/>
          <w:lang w:eastAsia="ar-SA"/>
        </w:rPr>
        <w:t xml:space="preserve">, którego reprezentuję </w:t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nie występują okoliczności wskazane w:</w:t>
      </w:r>
    </w:p>
    <w:p w14:paraId="052DB0D4" w14:textId="77777777" w:rsidR="006E7619" w:rsidRPr="00227B79" w:rsidRDefault="006E7619" w:rsidP="00227B79">
      <w:pPr>
        <w:pStyle w:val="Akapitzlist"/>
        <w:numPr>
          <w:ilvl w:val="0"/>
          <w:numId w:val="2"/>
        </w:numPr>
        <w:spacing w:before="240" w:after="0" w:line="276" w:lineRule="auto"/>
        <w:ind w:left="1134" w:hanging="357"/>
        <w:rPr>
          <w:rFonts w:ascii="Calibri" w:eastAsia="Lucida Sans Unicode" w:hAnsi="Calibri" w:cs="Calibri"/>
          <w:sz w:val="20"/>
          <w:szCs w:val="20"/>
          <w:lang w:eastAsia="ar-SA"/>
        </w:rPr>
      </w:pPr>
      <w:bookmarkStart w:id="1" w:name="_Hlk198548855"/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art. 2 rozporządzenia Rady (WE) nr 765/2006</w:t>
      </w:r>
      <w:r w:rsidRPr="00227B79">
        <w:rPr>
          <w:rStyle w:val="Odwoanieprzypisudolnego"/>
          <w:rFonts w:ascii="Calibri" w:eastAsia="Lucida Sans Unicode" w:hAnsi="Calibri" w:cs="Calibri"/>
          <w:sz w:val="20"/>
          <w:szCs w:val="20"/>
          <w:lang w:eastAsia="ar-SA"/>
        </w:rPr>
        <w:footnoteReference w:id="1"/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, które skutkowałyby zakazem udostępnienia funduszy lub zasobów gospodarczych;</w:t>
      </w:r>
    </w:p>
    <w:p w14:paraId="44E56472" w14:textId="77777777" w:rsidR="006E7619" w:rsidRPr="00227B79" w:rsidRDefault="006E7619" w:rsidP="00227B79">
      <w:pPr>
        <w:pStyle w:val="Akapitzlist"/>
        <w:numPr>
          <w:ilvl w:val="0"/>
          <w:numId w:val="2"/>
        </w:numPr>
        <w:spacing w:after="0" w:line="276" w:lineRule="auto"/>
        <w:ind w:left="1134" w:hanging="357"/>
        <w:rPr>
          <w:rFonts w:ascii="Calibri" w:eastAsia="Lucida Sans Unicode" w:hAnsi="Calibri" w:cs="Calibri"/>
          <w:sz w:val="20"/>
          <w:szCs w:val="20"/>
          <w:lang w:eastAsia="ar-SA"/>
        </w:rPr>
      </w:pP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art. 2 i art. 9 rozporządzeń Rady: (UE) nr 269/2014</w:t>
      </w:r>
      <w:r w:rsidRPr="00227B79">
        <w:rPr>
          <w:rStyle w:val="Odwoanieprzypisudolnego"/>
          <w:rFonts w:ascii="Calibri" w:eastAsia="Lucida Sans Unicode" w:hAnsi="Calibri" w:cs="Calibri"/>
          <w:sz w:val="20"/>
          <w:szCs w:val="20"/>
          <w:lang w:eastAsia="ar-SA"/>
        </w:rPr>
        <w:footnoteReference w:id="2"/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, (UE) nr 208/2014</w:t>
      </w:r>
      <w:r w:rsidRPr="00227B79">
        <w:rPr>
          <w:rStyle w:val="Odwoanieprzypisudolnego"/>
          <w:rFonts w:ascii="Calibri" w:eastAsia="Lucida Sans Unicode" w:hAnsi="Calibri" w:cs="Calibri"/>
          <w:sz w:val="20"/>
          <w:szCs w:val="20"/>
          <w:lang w:eastAsia="ar-SA"/>
        </w:rPr>
        <w:footnoteReference w:id="3"/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 xml:space="preserve"> lub art. 2 </w:t>
      </w:r>
      <w:r w:rsidRPr="00227B79">
        <w:rPr>
          <w:rFonts w:ascii="Calibri" w:eastAsia="Lucida Sans Unicode" w:hAnsi="Calibri" w:cs="Calibri"/>
          <w:bCs/>
          <w:sz w:val="20"/>
          <w:szCs w:val="20"/>
          <w:lang w:eastAsia="ar-SA"/>
        </w:rPr>
        <w:t>decyzji Rady 2014/145/WPZiB</w:t>
      </w:r>
      <w:r w:rsidRPr="00227B79">
        <w:rPr>
          <w:rStyle w:val="Odwoanieprzypisudolnego"/>
          <w:rFonts w:ascii="Calibri" w:eastAsia="Lucida Sans Unicode" w:hAnsi="Calibri" w:cs="Calibri"/>
          <w:sz w:val="20"/>
          <w:szCs w:val="20"/>
          <w:lang w:eastAsia="ar-SA"/>
        </w:rPr>
        <w:footnoteReference w:id="4"/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, które skutkowałyby zakazem udostępnienia środków finansowych lub zasobów gospodarczych;</w:t>
      </w:r>
    </w:p>
    <w:p w14:paraId="2F4B426E" w14:textId="77777777" w:rsidR="006E7619" w:rsidRPr="00227B79" w:rsidRDefault="006E7619" w:rsidP="00227B79">
      <w:pPr>
        <w:pStyle w:val="Akapitzlist"/>
        <w:numPr>
          <w:ilvl w:val="0"/>
          <w:numId w:val="2"/>
        </w:numPr>
        <w:spacing w:after="0" w:line="276" w:lineRule="auto"/>
        <w:ind w:left="1134" w:hanging="357"/>
        <w:rPr>
          <w:rFonts w:ascii="Calibri" w:eastAsia="Lucida Sans Unicode" w:hAnsi="Calibri" w:cs="Calibri"/>
          <w:sz w:val="20"/>
          <w:szCs w:val="20"/>
          <w:lang w:eastAsia="ar-SA"/>
        </w:rPr>
      </w:pP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art. 2 i 3 ustawy o szczególnych rozwiązaniach w zakresie przeciwdziałania wspieraniu agresji na Ukrainę</w:t>
      </w:r>
      <w:r w:rsidRPr="00227B79">
        <w:rPr>
          <w:rStyle w:val="Odwoanieprzypisudolnego"/>
          <w:rFonts w:ascii="Calibri" w:eastAsia="Lucida Sans Unicode" w:hAnsi="Calibri" w:cs="Calibri"/>
          <w:sz w:val="20"/>
          <w:szCs w:val="20"/>
          <w:lang w:eastAsia="ar-SA"/>
        </w:rPr>
        <w:footnoteReference w:id="5"/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, które skutkowałyby zakazem udostępnienia środków finansowych, funduszy lub zasobów gospodarczych;</w:t>
      </w:r>
    </w:p>
    <w:p w14:paraId="754047B4" w14:textId="77777777" w:rsidR="006E7619" w:rsidRPr="00227B79" w:rsidRDefault="006E7619" w:rsidP="00227B79">
      <w:pPr>
        <w:pStyle w:val="Akapitzlist"/>
        <w:numPr>
          <w:ilvl w:val="0"/>
          <w:numId w:val="2"/>
        </w:numPr>
        <w:spacing w:line="276" w:lineRule="auto"/>
        <w:ind w:left="1134" w:hanging="357"/>
        <w:rPr>
          <w:rFonts w:ascii="Calibri" w:eastAsia="Lucida Sans Unicode" w:hAnsi="Calibri" w:cs="Calibri"/>
          <w:sz w:val="20"/>
          <w:szCs w:val="20"/>
          <w:lang w:eastAsia="ar-SA"/>
        </w:rPr>
      </w:pP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art. 5l rozporządzenia Rady (UE) nr 833/2014</w:t>
      </w:r>
      <w:r w:rsidRPr="00227B79">
        <w:rPr>
          <w:rStyle w:val="Odwoanieprzypisudolnego"/>
          <w:rFonts w:ascii="Calibri" w:eastAsia="Lucida Sans Unicode" w:hAnsi="Calibri" w:cs="Calibri"/>
          <w:sz w:val="20"/>
          <w:szCs w:val="20"/>
          <w:lang w:eastAsia="ar-SA"/>
        </w:rPr>
        <w:footnoteReference w:id="6"/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 xml:space="preserve">, które skutkowałyby zakazem </w:t>
      </w:r>
      <w:r w:rsidRPr="00227B79">
        <w:rPr>
          <w:rStyle w:val="markedcontent"/>
          <w:rFonts w:ascii="Calibri" w:hAnsi="Calibri" w:cs="Calibri"/>
          <w:sz w:val="20"/>
          <w:szCs w:val="20"/>
        </w:rPr>
        <w:t xml:space="preserve">udzielania </w:t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bezpośredniego</w:t>
      </w:r>
      <w:r w:rsidRPr="00227B79">
        <w:rPr>
          <w:rStyle w:val="markedcontent"/>
          <w:rFonts w:ascii="Calibri" w:hAnsi="Calibri" w:cs="Calibri"/>
          <w:sz w:val="20"/>
          <w:szCs w:val="20"/>
        </w:rPr>
        <w:t xml:space="preserve"> lub </w:t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pośredniego</w:t>
      </w:r>
      <w:r w:rsidRPr="00227B79">
        <w:rPr>
          <w:rStyle w:val="markedcontent"/>
          <w:rFonts w:ascii="Calibri" w:hAnsi="Calibri" w:cs="Calibri"/>
          <w:sz w:val="20"/>
          <w:szCs w:val="20"/>
        </w:rPr>
        <w:t xml:space="preserve"> wsparcia, w tym udzielenia finansowania i pomocy finansowej lub przyznania jakichkolwiek innych korzyści</w:t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 xml:space="preserve"> w ramach krajowego programu;</w:t>
      </w:r>
    </w:p>
    <w:bookmarkEnd w:id="0"/>
    <w:bookmarkEnd w:id="1"/>
    <w:p w14:paraId="3E0BCB1D" w14:textId="05ACE82A" w:rsidR="006E7619" w:rsidRPr="00227B79" w:rsidRDefault="006E7619" w:rsidP="00227B79">
      <w:pPr>
        <w:pStyle w:val="Akapitzlist"/>
        <w:numPr>
          <w:ilvl w:val="0"/>
          <w:numId w:val="6"/>
        </w:numPr>
        <w:ind w:left="709"/>
        <w:jc w:val="both"/>
        <w:rPr>
          <w:rFonts w:ascii="Calibri" w:eastAsia="Lucida Sans Unicode" w:hAnsi="Calibri" w:cs="Calibri"/>
          <w:sz w:val="20"/>
          <w:szCs w:val="20"/>
          <w:lang w:eastAsia="ar-SA"/>
        </w:rPr>
      </w:pP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środki otrzyman</w:t>
      </w:r>
      <w:r w:rsidR="00F56B70" w:rsidRPr="00227B79">
        <w:rPr>
          <w:rFonts w:ascii="Calibri" w:eastAsia="Lucida Sans Unicode" w:hAnsi="Calibri" w:cs="Calibri"/>
          <w:sz w:val="20"/>
          <w:szCs w:val="20"/>
          <w:lang w:eastAsia="ar-SA"/>
        </w:rPr>
        <w:t>e</w:t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 xml:space="preserve"> od Zamawiającego nie zostaną przeznaczone:</w:t>
      </w:r>
    </w:p>
    <w:p w14:paraId="657BE1CA" w14:textId="61D0D047" w:rsidR="006E7619" w:rsidRPr="00227B79" w:rsidRDefault="006E7619" w:rsidP="00227B79">
      <w:pPr>
        <w:pStyle w:val="Akapitzlist"/>
        <w:numPr>
          <w:ilvl w:val="0"/>
          <w:numId w:val="5"/>
        </w:numPr>
        <w:spacing w:after="0" w:line="276" w:lineRule="auto"/>
        <w:ind w:left="1134" w:hanging="357"/>
        <w:rPr>
          <w:rFonts w:ascii="Calibri" w:eastAsia="Lucida Sans Unicode" w:hAnsi="Calibri" w:cs="Calibri"/>
          <w:sz w:val="20"/>
          <w:szCs w:val="20"/>
          <w:lang w:eastAsia="ar-SA"/>
        </w:rPr>
      </w:pP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lastRenderedPageBreak/>
        <w:t xml:space="preserve">na działalność zakazaną na podstawie aktów prawa unijnego przyjętych lub nowelizowanych w związku z agresją Rosji wobec Ukrainy, tj. rozporządzeń Rady: </w:t>
      </w:r>
      <w:r w:rsidRPr="00227B79">
        <w:rPr>
          <w:rFonts w:ascii="Calibri" w:eastAsia="Lucida Sans Unicode" w:hAnsi="Calibri" w:cs="Calibri"/>
          <w:bCs/>
          <w:sz w:val="20"/>
          <w:szCs w:val="20"/>
          <w:lang w:eastAsia="ar-SA"/>
        </w:rPr>
        <w:t>(UE) 2022/263</w:t>
      </w:r>
      <w:r w:rsidRPr="00227B79">
        <w:rPr>
          <w:rStyle w:val="Odwoanieprzypisudolnego"/>
          <w:rFonts w:ascii="Calibri" w:eastAsia="Lucida Sans Unicode" w:hAnsi="Calibri" w:cs="Calibri"/>
          <w:sz w:val="20"/>
          <w:szCs w:val="20"/>
          <w:lang w:eastAsia="ar-SA"/>
        </w:rPr>
        <w:footnoteReference w:id="7"/>
      </w:r>
      <w:r w:rsidRPr="00227B79">
        <w:rPr>
          <w:rFonts w:ascii="Calibri" w:eastAsia="Lucida Sans Unicode" w:hAnsi="Calibri" w:cs="Calibri"/>
          <w:bCs/>
          <w:sz w:val="20"/>
          <w:szCs w:val="20"/>
          <w:lang w:eastAsia="ar-SA"/>
        </w:rPr>
        <w:t xml:space="preserve">, </w:t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 xml:space="preserve">(UE) nr 833/2014, </w:t>
      </w:r>
      <w:r w:rsidRPr="00227B79">
        <w:rPr>
          <w:rFonts w:ascii="Calibri" w:eastAsia="Lucida Sans Unicode" w:hAnsi="Calibri" w:cs="Calibri"/>
          <w:bCs/>
          <w:sz w:val="20"/>
          <w:szCs w:val="20"/>
          <w:lang w:eastAsia="ar-SA"/>
        </w:rPr>
        <w:t>(UE) nr 692/2014</w:t>
      </w:r>
      <w:r w:rsidRPr="00227B79">
        <w:rPr>
          <w:rStyle w:val="Odwoanieprzypisudolnego"/>
          <w:rFonts w:ascii="Calibri" w:eastAsia="Lucida Sans Unicode" w:hAnsi="Calibri" w:cs="Calibri"/>
          <w:sz w:val="20"/>
          <w:szCs w:val="20"/>
          <w:lang w:eastAsia="ar-SA"/>
        </w:rPr>
        <w:footnoteReference w:id="8"/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 xml:space="preserve"> lub </w:t>
      </w:r>
      <w:r w:rsidRPr="00227B79">
        <w:rPr>
          <w:rFonts w:ascii="Calibri" w:eastAsia="Lucida Sans Unicode" w:hAnsi="Calibri" w:cs="Calibri"/>
          <w:bCs/>
          <w:sz w:val="20"/>
          <w:szCs w:val="20"/>
          <w:lang w:eastAsia="ar-SA"/>
        </w:rPr>
        <w:t>(WE) nr 765/2006</w:t>
      </w:r>
      <w:r w:rsidRPr="00227B79">
        <w:rPr>
          <w:rStyle w:val="Odwoanieprzypisudolnego"/>
          <w:rFonts w:ascii="Calibri" w:eastAsia="Lucida Sans Unicode" w:hAnsi="Calibri" w:cs="Calibri"/>
          <w:sz w:val="20"/>
          <w:szCs w:val="20"/>
          <w:lang w:eastAsia="ar-SA"/>
        </w:rPr>
        <w:footnoteReference w:id="9"/>
      </w:r>
      <w:r w:rsidRPr="00227B79">
        <w:rPr>
          <w:rFonts w:ascii="Calibri" w:eastAsia="Lucida Sans Unicode" w:hAnsi="Calibri" w:cs="Calibri"/>
          <w:bCs/>
          <w:sz w:val="20"/>
          <w:szCs w:val="20"/>
          <w:lang w:eastAsia="ar-SA"/>
        </w:rPr>
        <w:t>, decyzji Rady: (WPZiB) 2022/266</w:t>
      </w:r>
      <w:r w:rsidRPr="00227B79">
        <w:rPr>
          <w:rStyle w:val="Odwoanieprzypisudolnego"/>
          <w:rFonts w:ascii="Calibri" w:eastAsia="Lucida Sans Unicode" w:hAnsi="Calibri" w:cs="Calibri"/>
          <w:bCs/>
          <w:sz w:val="20"/>
          <w:szCs w:val="20"/>
          <w:lang w:eastAsia="ar-SA"/>
        </w:rPr>
        <w:footnoteReference w:id="10"/>
      </w:r>
      <w:r w:rsidRPr="00227B79">
        <w:rPr>
          <w:rFonts w:ascii="Calibri" w:eastAsia="Lucida Sans Unicode" w:hAnsi="Calibri" w:cs="Calibri"/>
          <w:bCs/>
          <w:sz w:val="20"/>
          <w:szCs w:val="20"/>
          <w:lang w:eastAsia="ar-SA"/>
        </w:rPr>
        <w:t>, 2014/512/WPZiB</w:t>
      </w:r>
      <w:r w:rsidRPr="00227B79">
        <w:rPr>
          <w:rStyle w:val="Odwoanieprzypisudolnego"/>
          <w:rFonts w:ascii="Calibri" w:eastAsia="Lucida Sans Unicode" w:hAnsi="Calibri" w:cs="Calibri"/>
          <w:sz w:val="20"/>
          <w:szCs w:val="20"/>
          <w:lang w:eastAsia="ar-SA"/>
        </w:rPr>
        <w:footnoteReference w:id="11"/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 xml:space="preserve">, </w:t>
      </w:r>
      <w:r w:rsidRPr="00227B79">
        <w:rPr>
          <w:rFonts w:ascii="Calibri" w:eastAsia="Lucida Sans Unicode" w:hAnsi="Calibri" w:cs="Calibri"/>
          <w:bCs/>
          <w:sz w:val="20"/>
          <w:szCs w:val="20"/>
          <w:lang w:eastAsia="ar-SA"/>
        </w:rPr>
        <w:t>2014/145/WPZiB</w:t>
      </w:r>
      <w:r w:rsidR="00603581" w:rsidRPr="00227B79">
        <w:rPr>
          <w:rStyle w:val="Odwoanieprzypisudolnego"/>
          <w:rFonts w:ascii="Calibri" w:eastAsia="Lucida Sans Unicode" w:hAnsi="Calibri" w:cs="Calibri"/>
          <w:bCs/>
          <w:sz w:val="20"/>
          <w:szCs w:val="20"/>
          <w:lang w:eastAsia="ar-SA"/>
        </w:rPr>
        <w:footnoteReference w:id="12"/>
      </w:r>
      <w:r w:rsidRPr="00227B79">
        <w:rPr>
          <w:rFonts w:ascii="Calibri" w:eastAsia="Lucida Sans Unicode" w:hAnsi="Calibri" w:cs="Calibri"/>
          <w:bCs/>
          <w:sz w:val="20"/>
          <w:szCs w:val="20"/>
          <w:lang w:eastAsia="ar-SA"/>
        </w:rPr>
        <w:t xml:space="preserve"> lub 2012/642/WPZiB</w:t>
      </w:r>
      <w:r w:rsidRPr="00227B79">
        <w:rPr>
          <w:rStyle w:val="Odwoanieprzypisudolnego"/>
          <w:rFonts w:ascii="Calibri" w:eastAsia="Lucida Sans Unicode" w:hAnsi="Calibri" w:cs="Calibri"/>
          <w:bCs/>
          <w:sz w:val="20"/>
          <w:szCs w:val="20"/>
          <w:lang w:eastAsia="ar-SA"/>
        </w:rPr>
        <w:footnoteReference w:id="13"/>
      </w:r>
      <w:r w:rsidRPr="00227B79">
        <w:rPr>
          <w:rFonts w:ascii="Calibri" w:eastAsia="Lucida Sans Unicode" w:hAnsi="Calibri" w:cs="Calibri"/>
          <w:bCs/>
          <w:sz w:val="20"/>
          <w:szCs w:val="20"/>
          <w:lang w:eastAsia="ar-SA"/>
        </w:rPr>
        <w:t>;</w:t>
      </w:r>
    </w:p>
    <w:p w14:paraId="5C91DC72" w14:textId="2EB0F803" w:rsidR="006E7619" w:rsidRPr="00227B79" w:rsidRDefault="006E7619" w:rsidP="00227B79">
      <w:pPr>
        <w:pStyle w:val="Akapitzlist"/>
        <w:numPr>
          <w:ilvl w:val="0"/>
          <w:numId w:val="5"/>
        </w:numPr>
        <w:spacing w:after="0" w:line="276" w:lineRule="auto"/>
        <w:ind w:left="1134" w:hanging="357"/>
        <w:rPr>
          <w:rFonts w:ascii="Calibri" w:eastAsia="Lucida Sans Unicode" w:hAnsi="Calibri" w:cs="Calibri"/>
          <w:sz w:val="20"/>
          <w:szCs w:val="20"/>
          <w:lang w:eastAsia="ar-SA"/>
        </w:rPr>
      </w:pP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na zaspokojenie roszczeń, o których mowa w art. 11 rozporządzeń Rady (UE) nr 833/2014</w:t>
      </w:r>
      <w:r w:rsidR="00603581" w:rsidRPr="00227B79">
        <w:rPr>
          <w:rStyle w:val="Odwoanieprzypisudolnego"/>
          <w:rFonts w:ascii="Calibri" w:eastAsia="Lucida Sans Unicode" w:hAnsi="Calibri" w:cs="Calibri"/>
          <w:sz w:val="20"/>
          <w:szCs w:val="20"/>
          <w:lang w:eastAsia="ar-SA"/>
        </w:rPr>
        <w:footnoteReference w:id="14"/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, w art. 11 rozporządzeń Rady (UE) nr 269/2014</w:t>
      </w:r>
      <w:r w:rsidR="00603581" w:rsidRPr="00227B79">
        <w:rPr>
          <w:rStyle w:val="Odwoanieprzypisudolnego"/>
          <w:rFonts w:ascii="Calibri" w:eastAsia="Lucida Sans Unicode" w:hAnsi="Calibri" w:cs="Calibri"/>
          <w:sz w:val="20"/>
          <w:szCs w:val="20"/>
          <w:lang w:eastAsia="ar-SA"/>
        </w:rPr>
        <w:footnoteReference w:id="15"/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, (UE) nr 208/2014</w:t>
      </w:r>
      <w:r w:rsidR="00603581" w:rsidRPr="00227B79">
        <w:rPr>
          <w:rStyle w:val="Odwoanieprzypisudolnego"/>
          <w:rFonts w:ascii="Calibri" w:eastAsia="Lucida Sans Unicode" w:hAnsi="Calibri" w:cs="Calibri"/>
          <w:sz w:val="20"/>
          <w:szCs w:val="20"/>
          <w:lang w:eastAsia="ar-SA"/>
        </w:rPr>
        <w:footnoteReference w:id="16"/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, (UE) 2024/2642</w:t>
      </w:r>
      <w:r w:rsidR="00603581" w:rsidRPr="00227B79">
        <w:rPr>
          <w:rStyle w:val="Odwoanieprzypisudolnego"/>
          <w:rFonts w:ascii="Calibri" w:eastAsia="Lucida Sans Unicode" w:hAnsi="Calibri" w:cs="Calibri"/>
          <w:sz w:val="20"/>
          <w:szCs w:val="20"/>
          <w:lang w:eastAsia="ar-SA"/>
        </w:rPr>
        <w:footnoteReference w:id="17"/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, art. 10 rozporządzenia Rady (UE) 2022/263</w:t>
      </w:r>
      <w:r w:rsidR="00603581" w:rsidRPr="00227B79">
        <w:rPr>
          <w:rStyle w:val="Odwoanieprzypisudolnego"/>
          <w:rFonts w:ascii="Calibri" w:eastAsia="Lucida Sans Unicode" w:hAnsi="Calibri" w:cs="Calibri"/>
          <w:sz w:val="20"/>
          <w:szCs w:val="20"/>
          <w:lang w:eastAsia="ar-SA"/>
        </w:rPr>
        <w:footnoteReference w:id="18"/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, art. 6 rozporządzenia Rady (UE) nr 692/2014</w:t>
      </w:r>
      <w:r w:rsidR="00603581" w:rsidRPr="00227B79">
        <w:rPr>
          <w:rStyle w:val="Odwoanieprzypisudolnego"/>
          <w:rFonts w:ascii="Calibri" w:eastAsia="Lucida Sans Unicode" w:hAnsi="Calibri" w:cs="Calibri"/>
          <w:sz w:val="20"/>
          <w:szCs w:val="20"/>
          <w:lang w:eastAsia="ar-SA"/>
        </w:rPr>
        <w:footnoteReference w:id="19"/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, art. 8d rozporządzenia Rady (WE) nr 765/2006</w:t>
      </w:r>
      <w:r w:rsidR="00603581" w:rsidRPr="00227B79">
        <w:rPr>
          <w:rStyle w:val="Odwoanieprzypisudolnego"/>
          <w:rFonts w:ascii="Calibri" w:eastAsia="Lucida Sans Unicode" w:hAnsi="Calibri" w:cs="Calibri"/>
          <w:sz w:val="20"/>
          <w:szCs w:val="20"/>
          <w:lang w:eastAsia="ar-SA"/>
        </w:rPr>
        <w:footnoteReference w:id="20"/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, art. 7 decyzji Rady: 2014/512/WPZiB</w:t>
      </w:r>
      <w:r w:rsidR="00603581" w:rsidRPr="00227B79">
        <w:rPr>
          <w:rStyle w:val="Odwoanieprzypisudolnego"/>
          <w:rFonts w:ascii="Calibri" w:eastAsia="Lucida Sans Unicode" w:hAnsi="Calibri" w:cs="Calibri"/>
          <w:sz w:val="20"/>
          <w:szCs w:val="20"/>
          <w:lang w:eastAsia="ar-SA"/>
        </w:rPr>
        <w:footnoteReference w:id="21"/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 xml:space="preserve">, </w:t>
      </w:r>
      <w:r w:rsidRPr="00227B79">
        <w:rPr>
          <w:rFonts w:ascii="Calibri" w:hAnsi="Calibri" w:cs="Calibri"/>
          <w:sz w:val="20"/>
          <w:szCs w:val="20"/>
        </w:rPr>
        <w:t>2024/2643/WPZiB</w:t>
      </w:r>
      <w:r w:rsidR="00603581" w:rsidRPr="00227B79">
        <w:rPr>
          <w:rStyle w:val="Odwoanieprzypisudolnego"/>
          <w:rFonts w:ascii="Calibri" w:hAnsi="Calibri" w:cs="Calibri"/>
          <w:sz w:val="20"/>
          <w:szCs w:val="20"/>
        </w:rPr>
        <w:footnoteReference w:id="22"/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 xml:space="preserve"> lub art. 2n decyzji Rady 2012/642/WPZiB</w:t>
      </w:r>
      <w:r w:rsidR="00603581" w:rsidRPr="00227B79">
        <w:rPr>
          <w:rStyle w:val="Odwoanieprzypisudolnego"/>
          <w:rFonts w:ascii="Calibri" w:eastAsia="Lucida Sans Unicode" w:hAnsi="Calibri" w:cs="Calibri"/>
          <w:sz w:val="20"/>
          <w:szCs w:val="20"/>
          <w:lang w:eastAsia="ar-SA"/>
        </w:rPr>
        <w:footnoteReference w:id="23"/>
      </w:r>
      <w:r w:rsidR="00D11E22" w:rsidRPr="00227B79">
        <w:rPr>
          <w:rFonts w:ascii="Calibri" w:eastAsia="Lucida Sans Unicode" w:hAnsi="Calibri" w:cs="Calibri"/>
          <w:sz w:val="20"/>
          <w:szCs w:val="20"/>
          <w:lang w:eastAsia="ar-SA"/>
        </w:rPr>
        <w:t>;</w:t>
      </w:r>
    </w:p>
    <w:p w14:paraId="3B83C7BE" w14:textId="42022010" w:rsidR="00D11E22" w:rsidRPr="00227B79" w:rsidRDefault="00D11E22" w:rsidP="00227B79">
      <w:pPr>
        <w:pStyle w:val="Akapitzlist"/>
        <w:numPr>
          <w:ilvl w:val="0"/>
          <w:numId w:val="5"/>
        </w:numPr>
        <w:spacing w:after="0" w:line="276" w:lineRule="auto"/>
        <w:ind w:left="1134" w:hanging="357"/>
        <w:rPr>
          <w:rFonts w:ascii="Calibri" w:eastAsia="Lucida Sans Unicode" w:hAnsi="Calibri" w:cs="Calibri"/>
          <w:sz w:val="20"/>
          <w:szCs w:val="20"/>
          <w:lang w:eastAsia="ar-SA"/>
        </w:rPr>
      </w:pP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na rzecz handlu z Rosją lub inwestycji w Rosji, na rzecz handlu z Białorusią lub inwestycji na Białorusi.</w:t>
      </w:r>
    </w:p>
    <w:p w14:paraId="1E9115E8" w14:textId="71EE7EF5" w:rsidR="005F7E1E" w:rsidRPr="005F7E1E" w:rsidRDefault="005F7E1E" w:rsidP="005F7E1E">
      <w:pPr>
        <w:pStyle w:val="Akapitzlist"/>
        <w:numPr>
          <w:ilvl w:val="0"/>
          <w:numId w:val="6"/>
        </w:numPr>
        <w:ind w:left="709"/>
        <w:jc w:val="both"/>
        <w:rPr>
          <w:rFonts w:ascii="Calibri" w:eastAsia="Lucida Sans Unicode" w:hAnsi="Calibri" w:cs="Calibri"/>
          <w:sz w:val="20"/>
          <w:szCs w:val="20"/>
          <w:lang w:eastAsia="ar-SA"/>
        </w:rPr>
      </w:pPr>
      <w:r>
        <w:rPr>
          <w:rFonts w:ascii="Calibri" w:eastAsia="Lucida Sans Unicode" w:hAnsi="Calibri" w:cs="Calibri"/>
          <w:sz w:val="20"/>
          <w:szCs w:val="20"/>
          <w:lang w:eastAsia="ar-SA"/>
        </w:rPr>
        <w:t xml:space="preserve">Wykonawca </w:t>
      </w:r>
      <w:r w:rsidRPr="005F7E1E">
        <w:rPr>
          <w:rFonts w:ascii="Calibri" w:eastAsia="Lucida Sans Unicode" w:hAnsi="Calibri" w:cs="Calibri"/>
          <w:sz w:val="20"/>
          <w:szCs w:val="20"/>
          <w:lang w:eastAsia="ar-SA"/>
        </w:rPr>
        <w:t>nie znajdują się w stanie likwidacji ani upadłości</w:t>
      </w:r>
      <w:r>
        <w:rPr>
          <w:rFonts w:ascii="Calibri" w:eastAsia="Lucida Sans Unicode" w:hAnsi="Calibri" w:cs="Calibri"/>
          <w:sz w:val="20"/>
          <w:szCs w:val="20"/>
          <w:lang w:eastAsia="ar-SA"/>
        </w:rPr>
        <w:t>.</w:t>
      </w:r>
    </w:p>
    <w:p w14:paraId="21F746C9" w14:textId="77777777" w:rsidR="005F7E1E" w:rsidRPr="005F7E1E" w:rsidRDefault="005F7E1E" w:rsidP="005F7E1E">
      <w:pPr>
        <w:pStyle w:val="Akapitzlist"/>
        <w:spacing w:after="0" w:line="276" w:lineRule="auto"/>
        <w:ind w:left="1440"/>
        <w:rPr>
          <w:rFonts w:ascii="Calibri" w:eastAsia="Lucida Sans Unicode" w:hAnsi="Calibri" w:cs="Calibri"/>
          <w:sz w:val="20"/>
          <w:szCs w:val="20"/>
          <w:lang w:eastAsia="ar-SA"/>
        </w:rPr>
      </w:pPr>
    </w:p>
    <w:p w14:paraId="0B76811A" w14:textId="77777777" w:rsidR="00F56B70" w:rsidRPr="00227B79" w:rsidRDefault="00F56B70" w:rsidP="00F56B70">
      <w:pPr>
        <w:rPr>
          <w:rFonts w:ascii="Calibri" w:eastAsia="Lucida Sans Unicode" w:hAnsi="Calibri" w:cs="Calibri"/>
          <w:sz w:val="20"/>
          <w:szCs w:val="20"/>
          <w:lang w:eastAsia="ar-SA"/>
        </w:rPr>
      </w:pP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Jestem świadomy odpowiedzialności karnej za złożenie fałszywego oświadczenia.</w:t>
      </w:r>
    </w:p>
    <w:p w14:paraId="33E0F734" w14:textId="77777777" w:rsidR="00195F28" w:rsidRDefault="00195F28" w:rsidP="00F56B70">
      <w:pPr>
        <w:rPr>
          <w:rFonts w:ascii="Calibri" w:eastAsia="Lucida Sans Unicode" w:hAnsi="Calibri" w:cs="Calibri"/>
          <w:sz w:val="20"/>
          <w:szCs w:val="20"/>
          <w:lang w:eastAsia="ar-SA"/>
        </w:rPr>
      </w:pPr>
    </w:p>
    <w:p w14:paraId="24855F99" w14:textId="4290462D" w:rsidR="00F56B70" w:rsidRPr="00377C96" w:rsidRDefault="00F56B70" w:rsidP="00F56B70">
      <w:pPr>
        <w:rPr>
          <w:rFonts w:ascii="Calibri" w:eastAsia="Lucida Sans Unicode" w:hAnsi="Calibri" w:cs="Calibri"/>
          <w:b/>
          <w:bCs/>
          <w:sz w:val="20"/>
          <w:szCs w:val="20"/>
          <w:lang w:eastAsia="ar-SA"/>
        </w:rPr>
      </w:pPr>
      <w:r w:rsidRPr="00377C96">
        <w:rPr>
          <w:rFonts w:ascii="Calibri" w:eastAsia="Lucida Sans Unicode" w:hAnsi="Calibri" w:cs="Calibri"/>
          <w:b/>
          <w:bCs/>
          <w:sz w:val="20"/>
          <w:szCs w:val="20"/>
          <w:lang w:eastAsia="ar-SA"/>
        </w:rPr>
        <w:t>W imieniu Wykonawcy:</w:t>
      </w:r>
    </w:p>
    <w:p w14:paraId="2BB124F5" w14:textId="77777777" w:rsidR="00F56B70" w:rsidRPr="00227B79" w:rsidRDefault="00F56B70" w:rsidP="00F56B70">
      <w:pPr>
        <w:rPr>
          <w:rFonts w:ascii="Calibri" w:eastAsia="Lucida Sans Unicode" w:hAnsi="Calibri" w:cs="Calibri"/>
          <w:sz w:val="20"/>
          <w:szCs w:val="20"/>
          <w:lang w:eastAsia="ar-SA"/>
        </w:rPr>
      </w:pP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data:</w:t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ab/>
      </w:r>
    </w:p>
    <w:p w14:paraId="45E3A392" w14:textId="77777777" w:rsidR="00F56B70" w:rsidRPr="00227B79" w:rsidRDefault="00F56B70" w:rsidP="00F56B70">
      <w:pPr>
        <w:rPr>
          <w:rFonts w:ascii="Calibri" w:eastAsia="Lucida Sans Unicode" w:hAnsi="Calibri" w:cs="Calibri"/>
          <w:sz w:val="20"/>
          <w:szCs w:val="20"/>
          <w:lang w:eastAsia="ar-SA"/>
        </w:rPr>
      </w:pP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imię i nazwisko:</w:t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ab/>
      </w:r>
    </w:p>
    <w:p w14:paraId="4906E657" w14:textId="77777777" w:rsidR="00F56B70" w:rsidRPr="00227B79" w:rsidRDefault="00F56B70" w:rsidP="00F56B70">
      <w:pPr>
        <w:rPr>
          <w:rFonts w:ascii="Calibri" w:eastAsia="Lucida Sans Unicode" w:hAnsi="Calibri" w:cs="Calibri"/>
          <w:sz w:val="20"/>
          <w:szCs w:val="20"/>
          <w:lang w:eastAsia="ar-SA"/>
        </w:rPr>
      </w:pP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stanowisko:</w:t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ab/>
      </w:r>
    </w:p>
    <w:p w14:paraId="3076D114" w14:textId="28BF6A54" w:rsidR="001C7B97" w:rsidRPr="00227B79" w:rsidRDefault="00F56B70" w:rsidP="00F56B70">
      <w:pPr>
        <w:rPr>
          <w:rFonts w:ascii="Calibri" w:hAnsi="Calibri" w:cs="Calibri"/>
          <w:sz w:val="20"/>
          <w:szCs w:val="20"/>
        </w:rPr>
      </w:pP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>podpis:</w:t>
      </w:r>
      <w:r w:rsidRPr="00227B79">
        <w:rPr>
          <w:rFonts w:ascii="Calibri" w:eastAsia="Lucida Sans Unicode" w:hAnsi="Calibri" w:cs="Calibri"/>
          <w:sz w:val="20"/>
          <w:szCs w:val="20"/>
          <w:lang w:eastAsia="ar-SA"/>
        </w:rPr>
        <w:tab/>
      </w:r>
    </w:p>
    <w:sectPr w:rsidR="001C7B97" w:rsidRPr="00227B79" w:rsidSect="006863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1417" w:bottom="1417" w:left="1417" w:header="426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8BA25" w14:textId="77777777" w:rsidR="0026780F" w:rsidRDefault="0026780F" w:rsidP="00DD5C81">
      <w:pPr>
        <w:spacing w:after="0" w:line="240" w:lineRule="auto"/>
      </w:pPr>
      <w:r>
        <w:separator/>
      </w:r>
    </w:p>
  </w:endnote>
  <w:endnote w:type="continuationSeparator" w:id="0">
    <w:p w14:paraId="228DB306" w14:textId="77777777" w:rsidR="0026780F" w:rsidRDefault="0026780F" w:rsidP="00DD5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7BA1E" w14:textId="77777777" w:rsidR="00F03779" w:rsidRDefault="00F037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5E94B" w14:textId="77777777" w:rsidR="00F03779" w:rsidRDefault="00F037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86DE4" w14:textId="77777777" w:rsidR="00F03779" w:rsidRDefault="00F037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5D12A" w14:textId="77777777" w:rsidR="0026780F" w:rsidRDefault="0026780F" w:rsidP="00DD5C81">
      <w:pPr>
        <w:spacing w:after="0" w:line="240" w:lineRule="auto"/>
      </w:pPr>
      <w:r>
        <w:separator/>
      </w:r>
    </w:p>
  </w:footnote>
  <w:footnote w:type="continuationSeparator" w:id="0">
    <w:p w14:paraId="25F73184" w14:textId="77777777" w:rsidR="0026780F" w:rsidRDefault="0026780F" w:rsidP="00DD5C81">
      <w:pPr>
        <w:spacing w:after="0" w:line="240" w:lineRule="auto"/>
      </w:pPr>
      <w:r>
        <w:continuationSeparator/>
      </w:r>
    </w:p>
  </w:footnote>
  <w:footnote w:id="1">
    <w:p w14:paraId="6A4AC84C" w14:textId="791DBEA4" w:rsidR="006E7619" w:rsidRPr="00195F28" w:rsidRDefault="006E7619" w:rsidP="006E7619">
      <w:pPr>
        <w:pStyle w:val="Tekstprzypisudolnego"/>
        <w:spacing w:line="276" w:lineRule="auto"/>
        <w:rPr>
          <w:rFonts w:cstheme="minorHAnsi"/>
          <w:color w:val="000000" w:themeColor="text1"/>
          <w:sz w:val="16"/>
          <w:szCs w:val="16"/>
        </w:rPr>
      </w:pPr>
      <w:r w:rsidRPr="00195F28">
        <w:rPr>
          <w:rStyle w:val="Odwoanieprzypisudolnego"/>
          <w:rFonts w:cstheme="minorHAnsi"/>
          <w:color w:val="000000" w:themeColor="text1"/>
          <w:sz w:val="16"/>
          <w:szCs w:val="16"/>
        </w:rPr>
        <w:footnoteRef/>
      </w:r>
      <w:r w:rsidRPr="00195F28">
        <w:rPr>
          <w:rFonts w:cstheme="minorHAnsi"/>
          <w:color w:val="000000" w:themeColor="text1"/>
          <w:sz w:val="16"/>
          <w:szCs w:val="16"/>
        </w:rPr>
        <w:t xml:space="preserve"> </w:t>
      </w:r>
      <w:bookmarkStart w:id="2" w:name="_Hlk198548994"/>
      <w:r w:rsidRPr="00195F28">
        <w:rPr>
          <w:sz w:val="16"/>
          <w:szCs w:val="16"/>
        </w:rPr>
        <w:fldChar w:fldCharType="begin"/>
      </w:r>
      <w:r w:rsidRPr="00195F28">
        <w:rPr>
          <w:sz w:val="16"/>
          <w:szCs w:val="16"/>
        </w:rPr>
        <w:instrText>HYPERLINK "https://eur-lex.europa.eu/legal-content/EN/TXT/?uri=CELEX%3A02006R0765-20220604"</w:instrText>
      </w:r>
      <w:r w:rsidRPr="00195F28">
        <w:rPr>
          <w:sz w:val="16"/>
          <w:szCs w:val="16"/>
        </w:rPr>
      </w:r>
      <w:r w:rsidRPr="00195F28">
        <w:rPr>
          <w:sz w:val="16"/>
          <w:szCs w:val="16"/>
        </w:rPr>
        <w:fldChar w:fldCharType="separate"/>
      </w:r>
      <w:r w:rsidRPr="00195F28">
        <w:rPr>
          <w:rStyle w:val="Hipercze"/>
          <w:rFonts w:cstheme="minorHAnsi"/>
          <w:color w:val="000000" w:themeColor="text1"/>
          <w:sz w:val="16"/>
          <w:szCs w:val="16"/>
          <w:u w:val="none"/>
        </w:rPr>
        <w:t xml:space="preserve">Rozporządzenie Rady (WE) nr 765/2006 z dnia 18 maja 2006 r. dotyczące środków ograniczających w związku z sytuacją na Białorusi i udziałem Białorusi w agresji Rosji wobec Ukrainy </w:t>
      </w:r>
      <w:r w:rsidRPr="00195F28">
        <w:rPr>
          <w:sz w:val="16"/>
          <w:szCs w:val="16"/>
        </w:rPr>
        <w:fldChar w:fldCharType="end"/>
      </w:r>
      <w:bookmarkEnd w:id="2"/>
    </w:p>
  </w:footnote>
  <w:footnote w:id="2">
    <w:p w14:paraId="51F30152" w14:textId="5C90D066" w:rsidR="006E7619" w:rsidRPr="00195F28" w:rsidRDefault="006E7619" w:rsidP="006E7619">
      <w:pPr>
        <w:pStyle w:val="Tekstprzypisudolnego"/>
        <w:spacing w:line="276" w:lineRule="auto"/>
        <w:rPr>
          <w:rFonts w:cstheme="minorHAnsi"/>
          <w:color w:val="000000" w:themeColor="text1"/>
          <w:sz w:val="16"/>
          <w:szCs w:val="16"/>
        </w:rPr>
      </w:pPr>
      <w:r w:rsidRPr="00195F28">
        <w:rPr>
          <w:rStyle w:val="Odwoanieprzypisudolnego"/>
          <w:rFonts w:cstheme="minorHAnsi"/>
          <w:color w:val="000000" w:themeColor="text1"/>
          <w:sz w:val="16"/>
          <w:szCs w:val="16"/>
        </w:rPr>
        <w:footnoteRef/>
      </w:r>
      <w:r w:rsidRPr="00195F28">
        <w:rPr>
          <w:rFonts w:cstheme="minorHAnsi"/>
          <w:color w:val="000000" w:themeColor="text1"/>
          <w:sz w:val="16"/>
          <w:szCs w:val="16"/>
        </w:rPr>
        <w:t xml:space="preserve"> </w:t>
      </w:r>
      <w:hyperlink r:id="rId1" w:history="1">
        <w:r w:rsidRPr="00195F28">
          <w:rPr>
            <w:rStyle w:val="Hipercze"/>
            <w:rFonts w:cstheme="minorHAnsi"/>
            <w:color w:val="000000" w:themeColor="text1"/>
            <w:sz w:val="16"/>
            <w:szCs w:val="16"/>
            <w:u w:val="none"/>
          </w:rPr>
          <w:t xml:space="preserve">Rozporządzenie Rady (UE) nr 269/2014 z dnia 17 marca 2014 r. w sprawie środków ograniczających w odniesieniu do działań podważających integralność terytorialną, suwerenność i niezależność Ukrainy lub im zagrażających </w:t>
        </w:r>
      </w:hyperlink>
    </w:p>
  </w:footnote>
  <w:footnote w:id="3">
    <w:p w14:paraId="72868E56" w14:textId="3A97CE18" w:rsidR="006E7619" w:rsidRPr="00195F28" w:rsidRDefault="006E7619" w:rsidP="006E7619">
      <w:pPr>
        <w:pStyle w:val="Tekstprzypisudolnego"/>
        <w:spacing w:line="276" w:lineRule="auto"/>
        <w:rPr>
          <w:rFonts w:cstheme="minorHAnsi"/>
          <w:color w:val="000000" w:themeColor="text1"/>
          <w:sz w:val="16"/>
          <w:szCs w:val="16"/>
        </w:rPr>
      </w:pPr>
      <w:r w:rsidRPr="00195F28">
        <w:rPr>
          <w:rStyle w:val="Odwoanieprzypisudolnego"/>
          <w:rFonts w:cstheme="minorHAnsi"/>
          <w:color w:val="000000" w:themeColor="text1"/>
          <w:sz w:val="16"/>
          <w:szCs w:val="16"/>
        </w:rPr>
        <w:footnoteRef/>
      </w:r>
      <w:r w:rsidRPr="00195F28">
        <w:rPr>
          <w:rFonts w:cstheme="minorHAnsi"/>
          <w:color w:val="000000" w:themeColor="text1"/>
          <w:sz w:val="16"/>
          <w:szCs w:val="16"/>
        </w:rPr>
        <w:t xml:space="preserve"> </w:t>
      </w:r>
      <w:hyperlink r:id="rId2" w:history="1">
        <w:r w:rsidRPr="00195F28">
          <w:rPr>
            <w:rStyle w:val="Hipercze"/>
            <w:rFonts w:cstheme="minorHAnsi"/>
            <w:bCs/>
            <w:color w:val="000000" w:themeColor="text1"/>
            <w:sz w:val="16"/>
            <w:szCs w:val="16"/>
            <w:u w:val="none"/>
          </w:rPr>
          <w:t xml:space="preserve">Rozporządzenie Rady (UE) nr 208/2014 z dnia 5 marca 2014 r. </w:t>
        </w:r>
        <w:r w:rsidRPr="00195F28">
          <w:rPr>
            <w:rStyle w:val="Hipercze"/>
            <w:rFonts w:cstheme="minorHAnsi"/>
            <w:color w:val="000000" w:themeColor="text1"/>
            <w:sz w:val="16"/>
            <w:szCs w:val="16"/>
            <w:u w:val="none"/>
          </w:rPr>
          <w:t xml:space="preserve">w sprawie środków ograniczających skierowanych przeciwko niektórym osobom, podmiotom i organom w związku z sytuacją na Ukrainie </w:t>
        </w:r>
      </w:hyperlink>
    </w:p>
  </w:footnote>
  <w:footnote w:id="4">
    <w:p w14:paraId="2F0F7A7F" w14:textId="25B639FD" w:rsidR="006E7619" w:rsidRPr="00195F28" w:rsidRDefault="006E7619" w:rsidP="006E7619">
      <w:pPr>
        <w:pStyle w:val="Tekstprzypisudolnego"/>
        <w:spacing w:line="276" w:lineRule="auto"/>
        <w:rPr>
          <w:rFonts w:cstheme="minorHAnsi"/>
          <w:color w:val="000000" w:themeColor="text1"/>
          <w:sz w:val="16"/>
          <w:szCs w:val="16"/>
        </w:rPr>
      </w:pPr>
      <w:r w:rsidRPr="00195F28">
        <w:rPr>
          <w:rStyle w:val="Odwoanieprzypisudolnego"/>
          <w:rFonts w:cstheme="minorHAnsi"/>
          <w:color w:val="000000" w:themeColor="text1"/>
          <w:sz w:val="16"/>
          <w:szCs w:val="16"/>
        </w:rPr>
        <w:footnoteRef/>
      </w:r>
      <w:r w:rsidRPr="00195F28">
        <w:rPr>
          <w:rFonts w:cstheme="minorHAnsi"/>
          <w:color w:val="000000" w:themeColor="text1"/>
          <w:sz w:val="16"/>
          <w:szCs w:val="16"/>
        </w:rPr>
        <w:t xml:space="preserve"> </w:t>
      </w:r>
      <w:hyperlink r:id="rId3" w:history="1">
        <w:r w:rsidRPr="00195F28">
          <w:rPr>
            <w:rStyle w:val="Hipercze"/>
            <w:rFonts w:cstheme="minorHAnsi"/>
            <w:bCs/>
            <w:color w:val="000000" w:themeColor="text1"/>
            <w:sz w:val="16"/>
            <w:szCs w:val="16"/>
            <w:u w:val="none"/>
          </w:rPr>
          <w:t xml:space="preserve">Decyzja Rady 2014/145/WPZiB z dnia 17 marca 2014 r. </w:t>
        </w:r>
        <w:r w:rsidRPr="00195F28">
          <w:rPr>
            <w:rStyle w:val="Hipercze"/>
            <w:rFonts w:cstheme="minorHAnsi"/>
            <w:color w:val="000000" w:themeColor="text1"/>
            <w:sz w:val="16"/>
            <w:szCs w:val="16"/>
            <w:u w:val="none"/>
          </w:rPr>
          <w:t>w sprawie środków ograniczających w związku z działaniami podważającymi integralność terytorialną, suwerenność i niezależność Ukrainy lub im zagrażającymi</w:t>
        </w:r>
      </w:hyperlink>
    </w:p>
  </w:footnote>
  <w:footnote w:id="5">
    <w:p w14:paraId="7FDB1A59" w14:textId="5ADB5BAD" w:rsidR="006E7619" w:rsidRPr="00195F28" w:rsidRDefault="006E7619" w:rsidP="006E7619">
      <w:pPr>
        <w:pStyle w:val="Tekstprzypisudolnego"/>
        <w:spacing w:line="276" w:lineRule="auto"/>
        <w:rPr>
          <w:rFonts w:cstheme="minorHAnsi"/>
          <w:color w:val="000000" w:themeColor="text1"/>
          <w:sz w:val="16"/>
          <w:szCs w:val="16"/>
        </w:rPr>
      </w:pPr>
      <w:r w:rsidRPr="00195F28">
        <w:rPr>
          <w:rStyle w:val="Odwoanieprzypisudolnego"/>
          <w:rFonts w:cstheme="minorHAnsi"/>
          <w:color w:val="000000" w:themeColor="text1"/>
          <w:sz w:val="16"/>
          <w:szCs w:val="16"/>
        </w:rPr>
        <w:footnoteRef/>
      </w:r>
      <w:r w:rsidRPr="00195F28">
        <w:rPr>
          <w:rFonts w:cstheme="minorHAnsi"/>
          <w:color w:val="000000" w:themeColor="text1"/>
          <w:sz w:val="16"/>
          <w:szCs w:val="16"/>
        </w:rPr>
        <w:t xml:space="preserve"> </w:t>
      </w:r>
      <w:hyperlink r:id="rId4" w:history="1">
        <w:r w:rsidRPr="00195F28">
          <w:rPr>
            <w:rStyle w:val="Hipercze"/>
            <w:rFonts w:eastAsia="Lucida Sans Unicode" w:cstheme="minorHAnsi"/>
            <w:color w:val="000000" w:themeColor="text1"/>
            <w:sz w:val="16"/>
            <w:szCs w:val="16"/>
            <w:u w:val="none"/>
            <w:lang w:eastAsia="ar-SA"/>
          </w:rPr>
          <w:t xml:space="preserve">Ustawa z dnia 13 kwietnia 2022 r. o szczególnych rozwiązaniach w zakresie przeciwdziałania wspieraniu agresji na Ukrainę oraz służących ochronie bezpieczeństwa narodowego </w:t>
        </w:r>
      </w:hyperlink>
    </w:p>
  </w:footnote>
  <w:footnote w:id="6">
    <w:p w14:paraId="138EBBBA" w14:textId="2C58E19A" w:rsidR="006E7619" w:rsidRPr="00195F28" w:rsidRDefault="006E7619" w:rsidP="006E7619">
      <w:pPr>
        <w:pStyle w:val="Tekstprzypisudolnego"/>
        <w:spacing w:line="276" w:lineRule="auto"/>
        <w:rPr>
          <w:rFonts w:cstheme="minorHAnsi"/>
          <w:sz w:val="16"/>
          <w:szCs w:val="16"/>
        </w:rPr>
      </w:pPr>
      <w:r w:rsidRPr="00195F28">
        <w:rPr>
          <w:rStyle w:val="Odwoanieprzypisudolnego"/>
          <w:rFonts w:cstheme="minorHAnsi"/>
          <w:color w:val="000000" w:themeColor="text1"/>
          <w:sz w:val="16"/>
          <w:szCs w:val="16"/>
        </w:rPr>
        <w:footnoteRef/>
      </w:r>
      <w:r w:rsidRPr="00195F28">
        <w:rPr>
          <w:rFonts w:cstheme="minorHAnsi"/>
          <w:color w:val="000000" w:themeColor="text1"/>
          <w:sz w:val="16"/>
          <w:szCs w:val="16"/>
        </w:rPr>
        <w:t xml:space="preserve"> </w:t>
      </w:r>
      <w:hyperlink r:id="rId5" w:history="1">
        <w:r w:rsidRPr="00195F28">
          <w:rPr>
            <w:rStyle w:val="Hipercze"/>
            <w:rFonts w:cstheme="minorHAnsi"/>
            <w:color w:val="000000" w:themeColor="text1"/>
            <w:sz w:val="16"/>
            <w:szCs w:val="16"/>
            <w:u w:val="none"/>
          </w:rPr>
          <w:t xml:space="preserve">Rozporządzenie Rady (UE) nr 833/2014 z dnia 31 lipca 2014 r. dotyczące środków ograniczających w związku z działaniami Rosji destabilizującymi sytuację na Ukrainie </w:t>
        </w:r>
      </w:hyperlink>
      <w:r w:rsidRPr="00195F28">
        <w:rPr>
          <w:rFonts w:cstheme="minorHAnsi"/>
          <w:color w:val="000000" w:themeColor="text1"/>
          <w:sz w:val="16"/>
          <w:szCs w:val="16"/>
        </w:rPr>
        <w:t xml:space="preserve"> </w:t>
      </w:r>
    </w:p>
  </w:footnote>
  <w:footnote w:id="7">
    <w:p w14:paraId="65C4778E" w14:textId="0750B848" w:rsidR="006E7619" w:rsidRPr="00195F28" w:rsidRDefault="006E7619" w:rsidP="006E7619">
      <w:pPr>
        <w:pStyle w:val="Tekstprzypisudolnego"/>
        <w:spacing w:line="276" w:lineRule="auto"/>
        <w:rPr>
          <w:rFonts w:cstheme="minorHAnsi"/>
          <w:color w:val="000000" w:themeColor="text1"/>
          <w:sz w:val="16"/>
          <w:szCs w:val="16"/>
        </w:rPr>
      </w:pPr>
      <w:r w:rsidRPr="00195F28">
        <w:rPr>
          <w:rStyle w:val="Odwoanieprzypisudolnego"/>
          <w:rFonts w:cstheme="minorHAnsi"/>
          <w:sz w:val="16"/>
          <w:szCs w:val="16"/>
        </w:rPr>
        <w:footnoteRef/>
      </w:r>
      <w:r w:rsidRPr="00195F28">
        <w:rPr>
          <w:rFonts w:cstheme="minorHAnsi"/>
          <w:sz w:val="16"/>
          <w:szCs w:val="16"/>
        </w:rPr>
        <w:t xml:space="preserve"> </w:t>
      </w:r>
      <w:hyperlink r:id="rId6" w:history="1">
        <w:r w:rsidRPr="00195F28">
          <w:rPr>
            <w:rStyle w:val="Hipercze"/>
            <w:rFonts w:cstheme="minorHAnsi"/>
            <w:bCs/>
            <w:color w:val="000000" w:themeColor="text1"/>
            <w:sz w:val="16"/>
            <w:szCs w:val="16"/>
            <w:u w:val="none"/>
          </w:rPr>
          <w:t xml:space="preserve">Rozporządzenie Rady (UE) 2022/263 z dnia 23 lutego 2022 r. </w:t>
        </w:r>
        <w:r w:rsidRPr="00195F28">
          <w:rPr>
            <w:rStyle w:val="Hipercze"/>
            <w:rFonts w:cstheme="minorHAnsi"/>
            <w:color w:val="000000" w:themeColor="text1"/>
            <w:sz w:val="16"/>
            <w:szCs w:val="16"/>
            <w:u w:val="none"/>
          </w:rPr>
          <w:t>w sprawie środków ograniczających w odpowiedzi na uznanie niekontrolowanych przez rząd obszarów ukraińskich obwodów donieckiego i ługańskiego oraz nakazanie rozmieszczenia rosyjskich sił zbrojnych na tych obszarach</w:t>
        </w:r>
      </w:hyperlink>
    </w:p>
  </w:footnote>
  <w:footnote w:id="8">
    <w:p w14:paraId="3D2B6A23" w14:textId="48182378" w:rsidR="006E7619" w:rsidRPr="00195F28" w:rsidRDefault="006E7619" w:rsidP="006E7619">
      <w:pPr>
        <w:pStyle w:val="Tekstprzypisudolnego"/>
        <w:spacing w:line="276" w:lineRule="auto"/>
        <w:rPr>
          <w:rFonts w:cstheme="minorHAnsi"/>
          <w:color w:val="000000" w:themeColor="text1"/>
          <w:sz w:val="16"/>
          <w:szCs w:val="16"/>
        </w:rPr>
      </w:pPr>
      <w:r w:rsidRPr="00195F28">
        <w:rPr>
          <w:rStyle w:val="Odwoanieprzypisudolnego"/>
          <w:rFonts w:cstheme="minorHAnsi"/>
          <w:color w:val="000000" w:themeColor="text1"/>
          <w:sz w:val="16"/>
          <w:szCs w:val="16"/>
        </w:rPr>
        <w:footnoteRef/>
      </w:r>
      <w:r w:rsidRPr="00195F28">
        <w:rPr>
          <w:rFonts w:cstheme="minorHAnsi"/>
          <w:color w:val="000000" w:themeColor="text1"/>
          <w:sz w:val="16"/>
          <w:szCs w:val="16"/>
        </w:rPr>
        <w:t xml:space="preserve"> </w:t>
      </w:r>
      <w:hyperlink r:id="rId7" w:history="1">
        <w:r w:rsidRPr="00195F28">
          <w:rPr>
            <w:rStyle w:val="Hipercze"/>
            <w:rFonts w:cstheme="minorHAnsi"/>
            <w:bCs/>
            <w:color w:val="000000" w:themeColor="text1"/>
            <w:sz w:val="16"/>
            <w:szCs w:val="16"/>
            <w:u w:val="none"/>
          </w:rPr>
          <w:t xml:space="preserve">Rozporządzenie Rady (UE) nr 692/2014 z dnia 23 czerwca 2014 r. </w:t>
        </w:r>
        <w:r w:rsidRPr="00195F28">
          <w:rPr>
            <w:rStyle w:val="Hipercze"/>
            <w:rFonts w:cstheme="minorHAnsi"/>
            <w:color w:val="000000" w:themeColor="text1"/>
            <w:sz w:val="16"/>
            <w:szCs w:val="16"/>
            <w:u w:val="none"/>
          </w:rPr>
          <w:t>w sprawie środków ograniczających w odpowiedzi na bezprawne przyłączenie Krymu i Sewastopola.</w:t>
        </w:r>
      </w:hyperlink>
    </w:p>
  </w:footnote>
  <w:footnote w:id="9">
    <w:p w14:paraId="45939B9A" w14:textId="22D32B4E" w:rsidR="006E7619" w:rsidRPr="00195F28" w:rsidRDefault="006E7619" w:rsidP="006E7619">
      <w:pPr>
        <w:pStyle w:val="Tekstprzypisudolnego"/>
        <w:spacing w:line="276" w:lineRule="auto"/>
        <w:rPr>
          <w:rFonts w:cstheme="minorHAnsi"/>
          <w:color w:val="000000" w:themeColor="text1"/>
          <w:sz w:val="16"/>
          <w:szCs w:val="16"/>
        </w:rPr>
      </w:pPr>
      <w:r w:rsidRPr="00195F28">
        <w:rPr>
          <w:rStyle w:val="Odwoanieprzypisudolnego"/>
          <w:rFonts w:cstheme="minorHAnsi"/>
          <w:color w:val="000000" w:themeColor="text1"/>
          <w:sz w:val="16"/>
          <w:szCs w:val="16"/>
        </w:rPr>
        <w:footnoteRef/>
      </w:r>
      <w:r w:rsidRPr="00195F28">
        <w:rPr>
          <w:rFonts w:cstheme="minorHAnsi"/>
          <w:color w:val="000000" w:themeColor="text1"/>
          <w:sz w:val="16"/>
          <w:szCs w:val="16"/>
        </w:rPr>
        <w:t xml:space="preserve"> </w:t>
      </w:r>
      <w:r w:rsidRPr="00195F28">
        <w:rPr>
          <w:rFonts w:cstheme="minorHAnsi"/>
          <w:bCs/>
          <w:color w:val="000000" w:themeColor="text1"/>
          <w:sz w:val="16"/>
          <w:szCs w:val="16"/>
        </w:rPr>
        <w:t>Jak w przypisie 1</w:t>
      </w:r>
    </w:p>
  </w:footnote>
  <w:footnote w:id="10">
    <w:p w14:paraId="4AC54972" w14:textId="4D998356" w:rsidR="006E7619" w:rsidRPr="00195F28" w:rsidRDefault="006E7619" w:rsidP="006E7619">
      <w:pPr>
        <w:pStyle w:val="Tekstprzypisudolnego"/>
        <w:spacing w:line="276" w:lineRule="auto"/>
        <w:rPr>
          <w:rFonts w:cstheme="minorHAnsi"/>
          <w:color w:val="000000" w:themeColor="text1"/>
          <w:sz w:val="16"/>
          <w:szCs w:val="16"/>
        </w:rPr>
      </w:pPr>
      <w:r w:rsidRPr="00195F28">
        <w:rPr>
          <w:rStyle w:val="Odwoanieprzypisudolnego"/>
          <w:rFonts w:cstheme="minorHAnsi"/>
          <w:color w:val="000000" w:themeColor="text1"/>
          <w:sz w:val="16"/>
          <w:szCs w:val="16"/>
        </w:rPr>
        <w:footnoteRef/>
      </w:r>
      <w:r w:rsidRPr="00195F28">
        <w:rPr>
          <w:rFonts w:cstheme="minorHAnsi"/>
          <w:color w:val="000000" w:themeColor="text1"/>
          <w:sz w:val="16"/>
          <w:szCs w:val="16"/>
        </w:rPr>
        <w:t xml:space="preserve"> </w:t>
      </w:r>
      <w:hyperlink r:id="rId8" w:history="1">
        <w:r w:rsidRPr="00195F28">
          <w:rPr>
            <w:rStyle w:val="Hipercze"/>
            <w:rFonts w:cstheme="minorHAnsi"/>
            <w:bCs/>
            <w:color w:val="000000" w:themeColor="text1"/>
            <w:sz w:val="16"/>
            <w:szCs w:val="16"/>
            <w:u w:val="none"/>
          </w:rPr>
          <w:t xml:space="preserve">Decyzja Rady (WPZiB) 2022/266 z dnia 23 lutego 2022 r. </w:t>
        </w:r>
        <w:r w:rsidRPr="00195F28">
          <w:rPr>
            <w:rStyle w:val="Hipercze"/>
            <w:rFonts w:cstheme="minorHAnsi"/>
            <w:color w:val="000000" w:themeColor="text1"/>
            <w:sz w:val="16"/>
            <w:szCs w:val="16"/>
            <w:u w:val="none"/>
          </w:rPr>
          <w:t xml:space="preserve">w sprawie środków ograniczających w odpowiedzi na uznanie niekontrolowanych przez rząd obszarów ukraińskich obwodów donieckiego i ługańskiego oraz nakazanie rozmieszczenia rosyjskich sił zbrojnych na tych obszarach </w:t>
        </w:r>
      </w:hyperlink>
      <w:r w:rsidRPr="00195F28">
        <w:rPr>
          <w:rFonts w:cstheme="minorHAnsi"/>
          <w:color w:val="000000" w:themeColor="text1"/>
          <w:sz w:val="16"/>
          <w:szCs w:val="16"/>
        </w:rPr>
        <w:t xml:space="preserve"> </w:t>
      </w:r>
    </w:p>
  </w:footnote>
  <w:footnote w:id="11">
    <w:p w14:paraId="0D9F86D7" w14:textId="4FDC32E6" w:rsidR="006E7619" w:rsidRPr="00195F28" w:rsidRDefault="006E7619" w:rsidP="006E7619">
      <w:pPr>
        <w:pStyle w:val="Tekstprzypisudolnego"/>
        <w:spacing w:line="276" w:lineRule="auto"/>
        <w:rPr>
          <w:rFonts w:cstheme="minorHAnsi"/>
          <w:color w:val="000000" w:themeColor="text1"/>
          <w:sz w:val="16"/>
          <w:szCs w:val="16"/>
        </w:rPr>
      </w:pPr>
      <w:r w:rsidRPr="00195F28">
        <w:rPr>
          <w:rStyle w:val="Odwoanieprzypisudolnego"/>
          <w:rFonts w:cstheme="minorHAnsi"/>
          <w:color w:val="000000" w:themeColor="text1"/>
          <w:sz w:val="16"/>
          <w:szCs w:val="16"/>
        </w:rPr>
        <w:footnoteRef/>
      </w:r>
      <w:r w:rsidRPr="00195F28">
        <w:rPr>
          <w:rFonts w:cstheme="minorHAnsi"/>
          <w:color w:val="000000" w:themeColor="text1"/>
          <w:sz w:val="16"/>
          <w:szCs w:val="16"/>
        </w:rPr>
        <w:t xml:space="preserve"> </w:t>
      </w:r>
      <w:hyperlink r:id="rId9" w:history="1">
        <w:r w:rsidRPr="00195F28">
          <w:rPr>
            <w:rStyle w:val="Hipercze"/>
            <w:rFonts w:cstheme="minorHAnsi"/>
            <w:bCs/>
            <w:color w:val="000000" w:themeColor="text1"/>
            <w:sz w:val="16"/>
            <w:szCs w:val="16"/>
            <w:u w:val="none"/>
          </w:rPr>
          <w:t xml:space="preserve">Decyzja Rady 2014/512/WPZiB z dnia 31 lipca 2014 r. </w:t>
        </w:r>
        <w:r w:rsidRPr="00195F28">
          <w:rPr>
            <w:rStyle w:val="Hipercze"/>
            <w:rFonts w:cstheme="minorHAnsi"/>
            <w:color w:val="000000" w:themeColor="text1"/>
            <w:sz w:val="16"/>
            <w:szCs w:val="16"/>
            <w:u w:val="none"/>
          </w:rPr>
          <w:t>dotycząca środków ograniczających w związku z działaniami Rosji destabilizującymi sytuację na Ukrainie</w:t>
        </w:r>
      </w:hyperlink>
    </w:p>
  </w:footnote>
  <w:footnote w:id="12">
    <w:p w14:paraId="589278F7" w14:textId="1A311E50" w:rsidR="00603581" w:rsidRPr="00195F28" w:rsidRDefault="00603581">
      <w:pPr>
        <w:pStyle w:val="Tekstprzypisudolnego"/>
        <w:rPr>
          <w:sz w:val="16"/>
          <w:szCs w:val="16"/>
        </w:rPr>
      </w:pPr>
      <w:r w:rsidRPr="00195F28">
        <w:rPr>
          <w:rStyle w:val="Odwoanieprzypisudolnego"/>
          <w:sz w:val="16"/>
          <w:szCs w:val="16"/>
        </w:rPr>
        <w:footnoteRef/>
      </w:r>
      <w:r w:rsidRPr="00195F28">
        <w:rPr>
          <w:sz w:val="16"/>
          <w:szCs w:val="16"/>
        </w:rPr>
        <w:t xml:space="preserve"> Decyzja Rady 2014/145/WPZiB z dnia 17 marca 2014 r. w sprawie środków ograniczających w związku z działaniami podważającymi integralność terytorialną, suwerenność i niezależność Ukrainy lub im zagrażającymi</w:t>
      </w:r>
    </w:p>
  </w:footnote>
  <w:footnote w:id="13">
    <w:p w14:paraId="3C049336" w14:textId="7E86C5A2" w:rsidR="006E7619" w:rsidRPr="00195F28" w:rsidRDefault="006E7619" w:rsidP="006E7619">
      <w:pPr>
        <w:pStyle w:val="Tekstprzypisudolnego"/>
        <w:spacing w:line="276" w:lineRule="auto"/>
        <w:rPr>
          <w:rFonts w:cstheme="minorHAnsi"/>
          <w:color w:val="000000" w:themeColor="text1"/>
          <w:sz w:val="16"/>
          <w:szCs w:val="16"/>
        </w:rPr>
      </w:pPr>
      <w:r w:rsidRPr="00195F28">
        <w:rPr>
          <w:rStyle w:val="Odwoanieprzypisudolnego"/>
          <w:rFonts w:cstheme="minorHAnsi"/>
          <w:color w:val="000000" w:themeColor="text1"/>
          <w:sz w:val="16"/>
          <w:szCs w:val="16"/>
        </w:rPr>
        <w:footnoteRef/>
      </w:r>
      <w:r w:rsidRPr="00195F28">
        <w:rPr>
          <w:rFonts w:cstheme="minorHAnsi"/>
          <w:color w:val="000000" w:themeColor="text1"/>
          <w:sz w:val="16"/>
          <w:szCs w:val="16"/>
        </w:rPr>
        <w:t xml:space="preserve"> </w:t>
      </w:r>
      <w:hyperlink r:id="rId10" w:history="1">
        <w:r w:rsidRPr="00195F28">
          <w:rPr>
            <w:rStyle w:val="Hipercze"/>
            <w:rFonts w:cstheme="minorHAnsi"/>
            <w:bCs/>
            <w:color w:val="000000" w:themeColor="text1"/>
            <w:sz w:val="16"/>
            <w:szCs w:val="16"/>
            <w:u w:val="none"/>
          </w:rPr>
          <w:t xml:space="preserve">Decyzja Rady 2012/642/WPZiB z dnia 15 października 2012 r. </w:t>
        </w:r>
        <w:r w:rsidRPr="00195F28">
          <w:rPr>
            <w:rStyle w:val="Hipercze"/>
            <w:rFonts w:cstheme="minorHAnsi"/>
            <w:color w:val="000000" w:themeColor="text1"/>
            <w:sz w:val="16"/>
            <w:szCs w:val="16"/>
            <w:u w:val="none"/>
          </w:rPr>
          <w:t>dotycząca środków ograniczających w związku z sytuacją na Białorusi i udziałem Białorusi w agresji Rosji wobec Ukrainy.</w:t>
        </w:r>
      </w:hyperlink>
    </w:p>
  </w:footnote>
  <w:footnote w:id="14">
    <w:p w14:paraId="73DD45A9" w14:textId="013DC4A8" w:rsidR="00603581" w:rsidRPr="00195F28" w:rsidRDefault="00603581">
      <w:pPr>
        <w:pStyle w:val="Tekstprzypisudolnego"/>
        <w:rPr>
          <w:sz w:val="16"/>
          <w:szCs w:val="16"/>
        </w:rPr>
      </w:pPr>
      <w:r w:rsidRPr="00195F28">
        <w:rPr>
          <w:rStyle w:val="Odwoanieprzypisudolnego"/>
          <w:sz w:val="16"/>
          <w:szCs w:val="16"/>
        </w:rPr>
        <w:footnoteRef/>
      </w:r>
      <w:r w:rsidRPr="00195F28">
        <w:rPr>
          <w:sz w:val="16"/>
          <w:szCs w:val="16"/>
        </w:rPr>
        <w:t xml:space="preserve"> Jak w przypisie 6</w:t>
      </w:r>
    </w:p>
  </w:footnote>
  <w:footnote w:id="15">
    <w:p w14:paraId="50E367F3" w14:textId="46764A9F" w:rsidR="00603581" w:rsidRPr="00195F28" w:rsidRDefault="00603581">
      <w:pPr>
        <w:pStyle w:val="Tekstprzypisudolnego"/>
        <w:rPr>
          <w:sz w:val="16"/>
          <w:szCs w:val="16"/>
        </w:rPr>
      </w:pPr>
      <w:r w:rsidRPr="00195F28">
        <w:rPr>
          <w:rStyle w:val="Odwoanieprzypisudolnego"/>
          <w:sz w:val="16"/>
          <w:szCs w:val="16"/>
        </w:rPr>
        <w:footnoteRef/>
      </w:r>
      <w:r w:rsidRPr="00195F28">
        <w:rPr>
          <w:sz w:val="16"/>
          <w:szCs w:val="16"/>
        </w:rPr>
        <w:t xml:space="preserve"> Jak w przypisie 2</w:t>
      </w:r>
    </w:p>
  </w:footnote>
  <w:footnote w:id="16">
    <w:p w14:paraId="496718EF" w14:textId="4FA4D877" w:rsidR="00603581" w:rsidRPr="00195F28" w:rsidRDefault="00603581">
      <w:pPr>
        <w:pStyle w:val="Tekstprzypisudolnego"/>
        <w:rPr>
          <w:sz w:val="16"/>
          <w:szCs w:val="16"/>
        </w:rPr>
      </w:pPr>
      <w:r w:rsidRPr="00195F28">
        <w:rPr>
          <w:rStyle w:val="Odwoanieprzypisudolnego"/>
          <w:sz w:val="16"/>
          <w:szCs w:val="16"/>
        </w:rPr>
        <w:footnoteRef/>
      </w:r>
      <w:r w:rsidRPr="00195F28">
        <w:rPr>
          <w:sz w:val="16"/>
          <w:szCs w:val="16"/>
        </w:rPr>
        <w:t xml:space="preserve"> Jak w przypisie 3</w:t>
      </w:r>
    </w:p>
  </w:footnote>
  <w:footnote w:id="17">
    <w:p w14:paraId="693C374C" w14:textId="6D461095" w:rsidR="00603581" w:rsidRPr="00195F28" w:rsidRDefault="00603581">
      <w:pPr>
        <w:pStyle w:val="Tekstprzypisudolnego"/>
        <w:rPr>
          <w:sz w:val="16"/>
          <w:szCs w:val="16"/>
        </w:rPr>
      </w:pPr>
      <w:r w:rsidRPr="00195F28">
        <w:rPr>
          <w:rStyle w:val="Odwoanieprzypisudolnego"/>
          <w:sz w:val="16"/>
          <w:szCs w:val="16"/>
        </w:rPr>
        <w:footnoteRef/>
      </w:r>
      <w:r w:rsidRPr="00195F28">
        <w:rPr>
          <w:sz w:val="16"/>
          <w:szCs w:val="16"/>
        </w:rPr>
        <w:t xml:space="preserve"> Rozporządzenie Rady (UE) nr 2024/2642 z dnia 8 października 2024 r. dotyczące środków ograniczających w związku z działaniami destabilizującymi Rosji,</w:t>
      </w:r>
    </w:p>
  </w:footnote>
  <w:footnote w:id="18">
    <w:p w14:paraId="53955520" w14:textId="0BED2FB2" w:rsidR="00603581" w:rsidRPr="00195F28" w:rsidRDefault="00603581">
      <w:pPr>
        <w:pStyle w:val="Tekstprzypisudolnego"/>
        <w:rPr>
          <w:sz w:val="16"/>
          <w:szCs w:val="16"/>
        </w:rPr>
      </w:pPr>
      <w:r w:rsidRPr="00195F28">
        <w:rPr>
          <w:rStyle w:val="Odwoanieprzypisudolnego"/>
          <w:sz w:val="16"/>
          <w:szCs w:val="16"/>
        </w:rPr>
        <w:footnoteRef/>
      </w:r>
      <w:r w:rsidRPr="00195F28">
        <w:rPr>
          <w:sz w:val="16"/>
          <w:szCs w:val="16"/>
        </w:rPr>
        <w:t xml:space="preserve"> Jak w przypisie 7</w:t>
      </w:r>
    </w:p>
  </w:footnote>
  <w:footnote w:id="19">
    <w:p w14:paraId="57F08F28" w14:textId="0C65409C" w:rsidR="00603581" w:rsidRPr="00195F28" w:rsidRDefault="00603581">
      <w:pPr>
        <w:pStyle w:val="Tekstprzypisudolnego"/>
        <w:rPr>
          <w:sz w:val="16"/>
          <w:szCs w:val="16"/>
        </w:rPr>
      </w:pPr>
      <w:r w:rsidRPr="00195F28">
        <w:rPr>
          <w:rStyle w:val="Odwoanieprzypisudolnego"/>
          <w:sz w:val="16"/>
          <w:szCs w:val="16"/>
        </w:rPr>
        <w:footnoteRef/>
      </w:r>
      <w:r w:rsidRPr="00195F28">
        <w:rPr>
          <w:sz w:val="16"/>
          <w:szCs w:val="16"/>
        </w:rPr>
        <w:t xml:space="preserve"> Jak w przypisie 8</w:t>
      </w:r>
    </w:p>
  </w:footnote>
  <w:footnote w:id="20">
    <w:p w14:paraId="0DAE69F0" w14:textId="673ABA52" w:rsidR="00603581" w:rsidRPr="00195F28" w:rsidRDefault="00603581">
      <w:pPr>
        <w:pStyle w:val="Tekstprzypisudolnego"/>
        <w:rPr>
          <w:sz w:val="16"/>
          <w:szCs w:val="16"/>
        </w:rPr>
      </w:pPr>
      <w:r w:rsidRPr="00195F28">
        <w:rPr>
          <w:rStyle w:val="Odwoanieprzypisudolnego"/>
          <w:sz w:val="16"/>
          <w:szCs w:val="16"/>
        </w:rPr>
        <w:footnoteRef/>
      </w:r>
      <w:r w:rsidRPr="00195F28">
        <w:rPr>
          <w:sz w:val="16"/>
          <w:szCs w:val="16"/>
        </w:rPr>
        <w:t xml:space="preserve"> Jak w przypisie</w:t>
      </w:r>
      <w:r w:rsidR="00962FC7" w:rsidRPr="00195F28">
        <w:rPr>
          <w:sz w:val="16"/>
          <w:szCs w:val="16"/>
        </w:rPr>
        <w:t xml:space="preserve"> </w:t>
      </w:r>
      <w:r w:rsidRPr="00195F28">
        <w:rPr>
          <w:sz w:val="16"/>
          <w:szCs w:val="16"/>
        </w:rPr>
        <w:t>1</w:t>
      </w:r>
    </w:p>
  </w:footnote>
  <w:footnote w:id="21">
    <w:p w14:paraId="77CA6B4A" w14:textId="3194F1D7" w:rsidR="00603581" w:rsidRPr="00195F28" w:rsidRDefault="00603581">
      <w:pPr>
        <w:pStyle w:val="Tekstprzypisudolnego"/>
        <w:rPr>
          <w:sz w:val="16"/>
          <w:szCs w:val="16"/>
        </w:rPr>
      </w:pPr>
      <w:r w:rsidRPr="00195F28">
        <w:rPr>
          <w:rStyle w:val="Odwoanieprzypisudolnego"/>
          <w:sz w:val="16"/>
          <w:szCs w:val="16"/>
        </w:rPr>
        <w:footnoteRef/>
      </w:r>
      <w:r w:rsidRPr="00195F28">
        <w:rPr>
          <w:sz w:val="16"/>
          <w:szCs w:val="16"/>
        </w:rPr>
        <w:t xml:space="preserve"> Jak w przypisie 11</w:t>
      </w:r>
    </w:p>
  </w:footnote>
  <w:footnote w:id="22">
    <w:p w14:paraId="66F88C7D" w14:textId="60C1568B" w:rsidR="00603581" w:rsidRPr="00195F28" w:rsidRDefault="00603581">
      <w:pPr>
        <w:pStyle w:val="Tekstprzypisudolnego"/>
        <w:rPr>
          <w:sz w:val="16"/>
          <w:szCs w:val="16"/>
        </w:rPr>
      </w:pPr>
      <w:r w:rsidRPr="00195F28">
        <w:rPr>
          <w:rStyle w:val="Odwoanieprzypisudolnego"/>
          <w:sz w:val="16"/>
          <w:szCs w:val="16"/>
        </w:rPr>
        <w:footnoteRef/>
      </w:r>
      <w:r w:rsidRPr="00195F28">
        <w:rPr>
          <w:sz w:val="16"/>
          <w:szCs w:val="16"/>
        </w:rPr>
        <w:t xml:space="preserve"> Decyzja Rady (WPZiB) 2024/2643 z dnia 8 października 2024 r. w sprawie środków ograniczających w związku z destabilizującymi działaniami Rosji.</w:t>
      </w:r>
    </w:p>
  </w:footnote>
  <w:footnote w:id="23">
    <w:p w14:paraId="5B6AD8D0" w14:textId="0FC4A6E5" w:rsidR="00603581" w:rsidRPr="00195F28" w:rsidRDefault="00603581">
      <w:pPr>
        <w:pStyle w:val="Tekstprzypisudolnego"/>
        <w:rPr>
          <w:sz w:val="16"/>
          <w:szCs w:val="16"/>
        </w:rPr>
      </w:pPr>
      <w:r w:rsidRPr="00195F28">
        <w:rPr>
          <w:rStyle w:val="Odwoanieprzypisudolnego"/>
          <w:sz w:val="16"/>
          <w:szCs w:val="16"/>
        </w:rPr>
        <w:footnoteRef/>
      </w:r>
      <w:r w:rsidRPr="00195F28">
        <w:rPr>
          <w:sz w:val="16"/>
          <w:szCs w:val="16"/>
        </w:rPr>
        <w:t xml:space="preserve"> Jak w przypisie 13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502E4" w14:textId="77777777" w:rsidR="00F03779" w:rsidRDefault="00F037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7E173" w14:textId="10F7FF82" w:rsidR="00F37B15" w:rsidRDefault="00F37B15" w:rsidP="00F37B15">
    <w:pPr>
      <w:jc w:val="right"/>
    </w:pPr>
    <w:r w:rsidRPr="00DD5C81">
      <w:rPr>
        <w:rFonts w:ascii="Calibri" w:hAnsi="Calibri" w:cs="Calibri"/>
        <w:b/>
        <w:bCs/>
        <w:u w:val="single"/>
      </w:rPr>
      <w:t xml:space="preserve">Załącznik nr </w:t>
    </w:r>
    <w:r>
      <w:rPr>
        <w:rFonts w:ascii="Calibri" w:hAnsi="Calibri" w:cs="Calibri"/>
        <w:b/>
        <w:bCs/>
        <w:u w:val="single"/>
      </w:rPr>
      <w:t>2</w:t>
    </w:r>
    <w:r w:rsidRPr="00DD5C81">
      <w:rPr>
        <w:rFonts w:ascii="Calibri" w:hAnsi="Calibri" w:cs="Calibri"/>
        <w:b/>
        <w:bCs/>
        <w:u w:val="single"/>
      </w:rPr>
      <w:t xml:space="preserve"> do zapytania ofertowego</w:t>
    </w:r>
    <w:r>
      <w:rPr>
        <w:rFonts w:ascii="Calibri" w:hAnsi="Calibri" w:cs="Calibri"/>
        <w:b/>
        <w:bCs/>
        <w:u w:val="single"/>
      </w:rPr>
      <w:t xml:space="preserve"> </w:t>
    </w:r>
    <w:r w:rsidR="00F03779">
      <w:rPr>
        <w:rFonts w:ascii="Calibri" w:hAnsi="Calibri" w:cs="Calibri"/>
        <w:b/>
        <w:bCs/>
        <w:u w:val="single"/>
      </w:rPr>
      <w:t>5</w:t>
    </w:r>
    <w:r>
      <w:rPr>
        <w:rFonts w:ascii="Calibri" w:hAnsi="Calibri" w:cs="Calibri"/>
        <w:b/>
        <w:bCs/>
        <w:u w:val="single"/>
      </w:rPr>
      <w:t>/KE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758FF" w14:textId="77777777" w:rsidR="00F03779" w:rsidRDefault="00F037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973BB"/>
    <w:multiLevelType w:val="hybridMultilevel"/>
    <w:tmpl w:val="18C2145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3B1724C"/>
    <w:multiLevelType w:val="hybridMultilevel"/>
    <w:tmpl w:val="801C12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D6260"/>
    <w:multiLevelType w:val="hybridMultilevel"/>
    <w:tmpl w:val="FEACBB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130402"/>
    <w:multiLevelType w:val="hybridMultilevel"/>
    <w:tmpl w:val="18109DE4"/>
    <w:lvl w:ilvl="0" w:tplc="9C28397E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5F12AC6"/>
    <w:multiLevelType w:val="hybridMultilevel"/>
    <w:tmpl w:val="365AA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152CA6"/>
    <w:multiLevelType w:val="hybridMultilevel"/>
    <w:tmpl w:val="AC48D7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5117C6"/>
    <w:multiLevelType w:val="hybridMultilevel"/>
    <w:tmpl w:val="30A0E7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477138">
    <w:abstractNumId w:val="1"/>
  </w:num>
  <w:num w:numId="2" w16cid:durableId="60102533">
    <w:abstractNumId w:val="2"/>
  </w:num>
  <w:num w:numId="3" w16cid:durableId="1192495998">
    <w:abstractNumId w:val="6"/>
  </w:num>
  <w:num w:numId="4" w16cid:durableId="328561454">
    <w:abstractNumId w:val="5"/>
  </w:num>
  <w:num w:numId="5" w16cid:durableId="1332946376">
    <w:abstractNumId w:val="4"/>
  </w:num>
  <w:num w:numId="6" w16cid:durableId="1280454472">
    <w:abstractNumId w:val="3"/>
  </w:num>
  <w:num w:numId="7" w16cid:durableId="731850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C06"/>
    <w:rsid w:val="000727EF"/>
    <w:rsid w:val="000D1115"/>
    <w:rsid w:val="00132FF9"/>
    <w:rsid w:val="00133C47"/>
    <w:rsid w:val="00137835"/>
    <w:rsid w:val="00195F28"/>
    <w:rsid w:val="001A2B75"/>
    <w:rsid w:val="001A31EF"/>
    <w:rsid w:val="001B64A8"/>
    <w:rsid w:val="001C7B97"/>
    <w:rsid w:val="00227B79"/>
    <w:rsid w:val="0026780F"/>
    <w:rsid w:val="002A21CE"/>
    <w:rsid w:val="002B04B6"/>
    <w:rsid w:val="002F3A01"/>
    <w:rsid w:val="00353834"/>
    <w:rsid w:val="00377C96"/>
    <w:rsid w:val="003F7C06"/>
    <w:rsid w:val="00457B33"/>
    <w:rsid w:val="004D0325"/>
    <w:rsid w:val="00544FD3"/>
    <w:rsid w:val="005F7E1E"/>
    <w:rsid w:val="00603581"/>
    <w:rsid w:val="00622C01"/>
    <w:rsid w:val="00670A75"/>
    <w:rsid w:val="00686352"/>
    <w:rsid w:val="006D5B71"/>
    <w:rsid w:val="006E7619"/>
    <w:rsid w:val="00722F21"/>
    <w:rsid w:val="007C6D2A"/>
    <w:rsid w:val="00842C68"/>
    <w:rsid w:val="00962FC7"/>
    <w:rsid w:val="009C67C9"/>
    <w:rsid w:val="00A444F2"/>
    <w:rsid w:val="00AD2214"/>
    <w:rsid w:val="00B14678"/>
    <w:rsid w:val="00B97800"/>
    <w:rsid w:val="00BF2D7D"/>
    <w:rsid w:val="00C025E2"/>
    <w:rsid w:val="00C37A4A"/>
    <w:rsid w:val="00C43355"/>
    <w:rsid w:val="00D11E22"/>
    <w:rsid w:val="00D91564"/>
    <w:rsid w:val="00DD5C81"/>
    <w:rsid w:val="00E07C1E"/>
    <w:rsid w:val="00ED1236"/>
    <w:rsid w:val="00F03779"/>
    <w:rsid w:val="00F27BD8"/>
    <w:rsid w:val="00F37B15"/>
    <w:rsid w:val="00F5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3457A"/>
  <w15:chartTrackingRefBased/>
  <w15:docId w15:val="{BC75EB19-7F09-4FA3-B867-BA993E402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F7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7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7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7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7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7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7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7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7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7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7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7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7C0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7C0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7C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7C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7C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7C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7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7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7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7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7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7C06"/>
    <w:rPr>
      <w:i/>
      <w:iCs/>
      <w:color w:val="404040" w:themeColor="text1" w:themeTint="BF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3F7C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7C0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7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7C0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7C06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D5C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D5C81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DD5C8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D5C81"/>
    <w:rPr>
      <w:color w:val="467886" w:themeColor="hyperlink"/>
      <w:u w:val="single"/>
    </w:rPr>
  </w:style>
  <w:style w:type="character" w:customStyle="1" w:styleId="markedcontent">
    <w:name w:val="markedcontent"/>
    <w:basedOn w:val="Domylnaczcionkaakapitu"/>
    <w:rsid w:val="00DD5C81"/>
  </w:style>
  <w:style w:type="paragraph" w:styleId="Nagwek">
    <w:name w:val="header"/>
    <w:basedOn w:val="Normalny"/>
    <w:link w:val="NagwekZnak"/>
    <w:uiPriority w:val="99"/>
    <w:unhideWhenUsed/>
    <w:rsid w:val="00962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2FC7"/>
  </w:style>
  <w:style w:type="paragraph" w:styleId="Stopka">
    <w:name w:val="footer"/>
    <w:basedOn w:val="Normalny"/>
    <w:link w:val="StopkaZnak"/>
    <w:uiPriority w:val="99"/>
    <w:unhideWhenUsed/>
    <w:rsid w:val="00962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2FC7"/>
  </w:style>
  <w:style w:type="character" w:customStyle="1" w:styleId="AkapitzlistZnak">
    <w:name w:val="Akapit z listą Znak"/>
    <w:aliases w:val="Preambuła Znak"/>
    <w:link w:val="Akapitzlist"/>
    <w:uiPriority w:val="34"/>
    <w:locked/>
    <w:rsid w:val="00227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PL/TXT/PDF/?uri=CELEX:02022D0266-20220414&amp;from=EN" TargetMode="External"/><Relationship Id="rId3" Type="http://schemas.openxmlformats.org/officeDocument/2006/relationships/hyperlink" Target="https://eur-lex.europa.eu/legal-content/PL/TXT/PDF/?uri=CELEX:02014D0145-20220604&amp;from=EN" TargetMode="External"/><Relationship Id="rId7" Type="http://schemas.openxmlformats.org/officeDocument/2006/relationships/hyperlink" Target="https://eur-lex.europa.eu/legal-content/PL/TXT/PDF/?uri=CELEX:02014R0692-20141220&amp;from=EN" TargetMode="External"/><Relationship Id="rId2" Type="http://schemas.openxmlformats.org/officeDocument/2006/relationships/hyperlink" Target="https://eur-lex.europa.eu/legal-content/PL/TXT/PDF/?uri=CELEX:02014R0208-20220413&amp;from=EN" TargetMode="External"/><Relationship Id="rId1" Type="http://schemas.openxmlformats.org/officeDocument/2006/relationships/hyperlink" Target="https://eur-lex.europa.eu/legal-content/EN/TXT/?uri=CELEX%3A02014R0269-20220604" TargetMode="External"/><Relationship Id="rId6" Type="http://schemas.openxmlformats.org/officeDocument/2006/relationships/hyperlink" Target="https://eur-lex.europa.eu/legal-content/PL/TXT/PDF/?uri=CELEX:02022R0263-20220414&amp;from=EN%20." TargetMode="External"/><Relationship Id="rId5" Type="http://schemas.openxmlformats.org/officeDocument/2006/relationships/hyperlink" Target="https://eur-lex.europa.eu/legal-content/EN/TXT/?uri=CELEX%3A02014R0833-20220604" TargetMode="External"/><Relationship Id="rId10" Type="http://schemas.openxmlformats.org/officeDocument/2006/relationships/hyperlink" Target="https://eur-lex.europa.eu/legal-content/PL/TXT/PDF/?uri=CELEX:02012D0642-20220604&amp;from=EN" TargetMode="External"/><Relationship Id="rId4" Type="http://schemas.openxmlformats.org/officeDocument/2006/relationships/hyperlink" Target="https://isap.sejm.gov.pl/isap.nsf/download.xsp/WDU20220000835/T/D20220835L.pdf" TargetMode="External"/><Relationship Id="rId9" Type="http://schemas.openxmlformats.org/officeDocument/2006/relationships/hyperlink" Target="https://eur-lex.europa.eu/legal-content/PL/TXT/PDF/?uri=CELEX:02014D0512-20220604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481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Skalny</dc:creator>
  <cp:keywords/>
  <dc:description/>
  <cp:lastModifiedBy>Agnieszka Skalny</cp:lastModifiedBy>
  <cp:revision>21</cp:revision>
  <cp:lastPrinted>2025-05-22T10:57:00Z</cp:lastPrinted>
  <dcterms:created xsi:type="dcterms:W3CDTF">2025-05-19T09:59:00Z</dcterms:created>
  <dcterms:modified xsi:type="dcterms:W3CDTF">2026-05-08T11:20:00Z</dcterms:modified>
</cp:coreProperties>
</file>