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05280" w14:textId="77777777" w:rsidR="00C467D3" w:rsidRPr="0012357D" w:rsidRDefault="00000000">
      <w:pPr>
        <w:pStyle w:val="Nagwek3"/>
        <w:spacing w:line="276" w:lineRule="auto"/>
        <w:rPr>
          <w:rFonts w:ascii="Roboto" w:hAnsi="Roboto"/>
          <w:color w:val="000000" w:themeColor="text1"/>
          <w:szCs w:val="20"/>
        </w:rPr>
      </w:pPr>
      <w:bookmarkStart w:id="0" w:name="_Ref88756004"/>
      <w:r w:rsidRPr="0012357D">
        <w:rPr>
          <w:rFonts w:ascii="Roboto" w:hAnsi="Roboto"/>
          <w:color w:val="000000" w:themeColor="text1"/>
          <w:szCs w:val="20"/>
        </w:rPr>
        <w:t>Załącznik nr 1a</w:t>
      </w:r>
      <w:bookmarkEnd w:id="0"/>
    </w:p>
    <w:p w14:paraId="4EC9B93D" w14:textId="77777777" w:rsidR="00C467D3" w:rsidRPr="0012357D" w:rsidRDefault="00000000">
      <w:pPr>
        <w:spacing w:after="120"/>
        <w:rPr>
          <w:rFonts w:ascii="Roboto" w:hAnsi="Roboto" w:cs="Calibri"/>
          <w:color w:val="000000" w:themeColor="text1"/>
          <w:szCs w:val="20"/>
        </w:rPr>
      </w:pPr>
      <w:r w:rsidRPr="0012357D">
        <w:rPr>
          <w:rFonts w:ascii="Roboto" w:hAnsi="Roboto" w:cs="Calibri"/>
          <w:color w:val="000000" w:themeColor="text1"/>
          <w:szCs w:val="20"/>
        </w:rPr>
        <w:t>Szczegółowy opis i zakres przedmiotu zamówienia:</w:t>
      </w:r>
    </w:p>
    <w:p w14:paraId="2BD4309A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Zamawiający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dopuszcza zastosowanie rozwiązań równoważnych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pod warunkiem że zapewniają one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co najmniej taki sam poziom parametrów technicznych, jakościowych, funkcjonalnych i eksploatacyjnych</w:t>
      </w:r>
      <w:r w:rsidRPr="0012357D">
        <w:rPr>
          <w:rFonts w:ascii="Roboto" w:hAnsi="Roboto"/>
          <w:color w:val="000000" w:themeColor="text1"/>
          <w:sz w:val="20"/>
          <w:szCs w:val="20"/>
        </w:rPr>
        <w:t>, jak wymagane w niniejszym opisie przedmiotu zamówienia, oraz spełniają wszystkie minimalne wymagania określone w Zapytaniu Ofertowym i Specyfikacji Warunków Zamówienia.</w:t>
      </w:r>
    </w:p>
    <w:p w14:paraId="06595CD0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Wymagania techniczne zostały określone w sposób funkcjonalny i parametryczny, proporcjonalny do skali inwestycji oraz uzasadniony potrzebą zapewnienia trwałości, bezpieczeństwa i zgodności z warunkami przyłączenia do sieci elektroenergetycznej.</w:t>
      </w:r>
    </w:p>
    <w:p w14:paraId="2D4A5B60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Zamawiający dopuszcza stosowanie dowolnych rozwiązań spełniających powyższe wymagania techniczne, jakościowe i funkcjonalne, w tym rozwiązań równoważnych oferowanych przez innych producentów lub dostawców, pod warunkiem udokumentowania zgodności z minimalnymi wymaganiami określonymi w SWZ.</w:t>
      </w:r>
    </w:p>
    <w:p w14:paraId="18A0341D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54FC05E4" w14:textId="77777777" w:rsidR="00C467D3" w:rsidRPr="0012357D" w:rsidRDefault="00000000">
      <w:pPr>
        <w:pStyle w:val="Nagwek2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 w:val="20"/>
          <w:szCs w:val="20"/>
        </w:rPr>
        <w:t>SPECYFIKACJA WARUNKÓW ZAMÓWIENIA</w:t>
      </w:r>
    </w:p>
    <w:p w14:paraId="637ACEFF" w14:textId="77777777" w:rsidR="00C467D3" w:rsidRPr="0012357D" w:rsidRDefault="00000000">
      <w:pPr>
        <w:pStyle w:val="Nagwek3"/>
        <w:numPr>
          <w:ilvl w:val="0"/>
          <w:numId w:val="9"/>
        </w:numPr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Przedmiot zamówienia – Część 1: Instalacja fotowoltaiczna – prace budowlane</w:t>
      </w:r>
    </w:p>
    <w:p w14:paraId="7963FE4D" w14:textId="77777777" w:rsidR="00C467D3" w:rsidRPr="0012357D" w:rsidRDefault="00000000">
      <w:pPr>
        <w:pStyle w:val="NormalnyWeb"/>
        <w:spacing w:before="280" w:after="280"/>
        <w:ind w:left="72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Przedmiotem zamówienia jest kompleksowa realizacja instalacji fotowoltaicznej o łącznej mocy zainstalowanej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nie mniejszej niż 410,16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kWp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>, obejmującej:</w:t>
      </w:r>
    </w:p>
    <w:p w14:paraId="0C1FBEDF" w14:textId="748EB642" w:rsidR="00C467D3" w:rsidRPr="0012357D" w:rsidRDefault="00000000">
      <w:pPr>
        <w:pStyle w:val="NormalnyWeb"/>
        <w:numPr>
          <w:ilvl w:val="1"/>
          <w:numId w:val="4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część gruntową o mocy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nie mniejszej niż 299,28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kWp</w:t>
      </w:r>
      <w:proofErr w:type="spellEnd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 (</w:t>
      </w:r>
      <w:r w:rsidR="004B6DE2"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max </w:t>
      </w:r>
      <w:r w:rsidRPr="0012357D">
        <w:rPr>
          <w:rFonts w:ascii="Roboto" w:eastAsiaTheme="minorEastAsia" w:hAnsi="Roboto" w:cs="Segoe UI"/>
          <w:color w:val="000000" w:themeColor="text1"/>
          <w:sz w:val="20"/>
          <w:szCs w:val="20"/>
          <w:lang w:eastAsia="en-US"/>
        </w:rPr>
        <w:t>516 sztuk modułów 580 W)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</w:p>
    <w:p w14:paraId="38EA1DE5" w14:textId="278DF3DC" w:rsidR="00C467D3" w:rsidRPr="0012357D" w:rsidRDefault="00000000">
      <w:pPr>
        <w:pStyle w:val="NormalnyWeb"/>
        <w:numPr>
          <w:ilvl w:val="1"/>
          <w:numId w:val="4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część dachową o mocy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nie mniejszej niż 110,88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kWp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.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(</w:t>
      </w:r>
      <w:r w:rsidR="004B6DE2"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 max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252 sztuki modułów 440 W)</w:t>
      </w:r>
    </w:p>
    <w:p w14:paraId="0889AC77" w14:textId="77777777" w:rsidR="00C467D3" w:rsidRPr="0012357D" w:rsidRDefault="00000000">
      <w:pPr>
        <w:pStyle w:val="pf0"/>
        <w:spacing w:before="280" w:after="280"/>
        <w:rPr>
          <w:rFonts w:ascii="Roboto" w:hAnsi="Roboto" w:cs="Arial"/>
          <w:color w:val="000000" w:themeColor="text1"/>
          <w:sz w:val="20"/>
          <w:szCs w:val="20"/>
        </w:rPr>
      </w:pPr>
      <w:r w:rsidRPr="0012357D">
        <w:rPr>
          <w:rStyle w:val="cf01"/>
          <w:rFonts w:ascii="Roboto" w:hAnsi="Roboto"/>
          <w:color w:val="000000" w:themeColor="text1"/>
          <w:sz w:val="20"/>
          <w:szCs w:val="20"/>
        </w:rPr>
        <w:t>Zakres obejmuje modernizacje punktu przyłączenie SN zgodnie z uzyskanymi warunkami przyłączenia do sieci.</w:t>
      </w:r>
    </w:p>
    <w:p w14:paraId="24AA15A4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2C0D0833" w14:textId="77777777" w:rsidR="00C467D3" w:rsidRPr="0012357D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Wymogi techniczne</w:t>
      </w:r>
    </w:p>
    <w:p w14:paraId="0B005B48" w14:textId="77777777" w:rsidR="00C467D3" w:rsidRPr="0012357D" w:rsidRDefault="00000000">
      <w:pPr>
        <w:pStyle w:val="Nagwek4"/>
        <w:numPr>
          <w:ilvl w:val="0"/>
          <w:numId w:val="10"/>
        </w:numPr>
        <w:rPr>
          <w:rFonts w:ascii="Roboto" w:hAnsi="Roboto"/>
          <w:i w:val="0"/>
          <w:iCs w:val="0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i w:val="0"/>
          <w:iCs w:val="0"/>
          <w:color w:val="000000" w:themeColor="text1"/>
          <w:szCs w:val="20"/>
        </w:rPr>
        <w:t>Normy</w:t>
      </w:r>
    </w:p>
    <w:p w14:paraId="27BA88F6" w14:textId="77777777" w:rsidR="00C467D3" w:rsidRPr="0012357D" w:rsidRDefault="00000000">
      <w:pPr>
        <w:pStyle w:val="NormalnyWeb"/>
        <w:numPr>
          <w:ilvl w:val="0"/>
          <w:numId w:val="5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Wszystkie urządzenia, materiały i systemy zastosowane w ramach realizacji zamówienia muszą spełniać aktualnie obowiązujące normy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PN-EN, IEC lub ISO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3A251ADC" w14:textId="77777777" w:rsidR="00C467D3" w:rsidRPr="0012357D" w:rsidRDefault="00000000">
      <w:pPr>
        <w:pStyle w:val="NormalnyWeb"/>
        <w:numPr>
          <w:ilvl w:val="0"/>
          <w:numId w:val="5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 przypadku rozbieżności pomiędzy normami, stosuje się wymagania bardziej rygorystyczne, o ile są one zgodne z obowiązującymi przepisami prawa, w tym ustawą Prawo zamówień publicznych.</w:t>
      </w:r>
    </w:p>
    <w:p w14:paraId="3C844D6D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3A9B30D4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6EAD13DF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00E05092" w14:textId="77777777" w:rsidR="00C467D3" w:rsidRPr="0012357D" w:rsidRDefault="00000000">
      <w:pPr>
        <w:pStyle w:val="Nagwek4"/>
        <w:numPr>
          <w:ilvl w:val="0"/>
          <w:numId w:val="10"/>
        </w:numPr>
        <w:rPr>
          <w:rFonts w:ascii="Roboto" w:hAnsi="Roboto"/>
          <w:i w:val="0"/>
          <w:iCs w:val="0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i w:val="0"/>
          <w:iCs w:val="0"/>
          <w:color w:val="000000" w:themeColor="text1"/>
          <w:szCs w:val="20"/>
        </w:rPr>
        <w:t>Komponenty i systemy</w:t>
      </w:r>
    </w:p>
    <w:p w14:paraId="387F9C93" w14:textId="77777777" w:rsidR="00C467D3" w:rsidRPr="0012357D" w:rsidRDefault="00000000">
      <w:pPr>
        <w:pStyle w:val="Nagwek4"/>
        <w:rPr>
          <w:rFonts w:ascii="Roboto" w:hAnsi="Roboto"/>
          <w:i w:val="0"/>
          <w:iCs w:val="0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i w:val="0"/>
          <w:iCs w:val="0"/>
          <w:color w:val="000000" w:themeColor="text1"/>
          <w:szCs w:val="20"/>
        </w:rPr>
        <w:t>2.1. Moduły fotowoltaiczne – część gruntowa</w:t>
      </w:r>
    </w:p>
    <w:p w14:paraId="12A67B56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Wymagane parametry minimalne: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a) moc jednostkowa: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≥ 575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Wp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b) sprawność w warunkach STC: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22,3%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c) karta katalogowa musi zawierać dane elektryczne w warunkach NOCT: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Pmax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Vmp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Imp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Voc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Isc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d) konstrukcja typu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szkło–szkło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grubość każdej tafli szkła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2,0 mm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klasa ogniowa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nie niższa niż C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zgodnie z IEC 61730,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e) gwarancja produktowa: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min. 12 lat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f) gwarancja liniowa mocy: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min. 30 lat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g) degradacja w pierwszym roku: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≤ 1,0%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h) degradacja po pierwszym roku: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≤ 0,4% rocznie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i) moc po 30 latach: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87,4%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j) odporność mechaniczna: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3600 Pa (śnieg, przód)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oraz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1600 Pa (wiatr, tył)</w:t>
      </w:r>
      <w:r w:rsidRPr="0012357D">
        <w:rPr>
          <w:rFonts w:ascii="Roboto" w:hAnsi="Roboto"/>
          <w:color w:val="000000" w:themeColor="text1"/>
          <w:sz w:val="20"/>
          <w:szCs w:val="20"/>
        </w:rPr>
        <w:t>; dopuszcza się wyższe wartości potwierdzone dokumentacją producenta,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k) raporty z badań akredytowanego laboratorium potwierdzające odporność na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LID, PID oraz Hot Spot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l) dodatnia tolerancja mocy wyłącznie w zakresie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0 W do wartości dodatniej</w:t>
      </w:r>
      <w:r w:rsidRPr="0012357D">
        <w:rPr>
          <w:rFonts w:ascii="Roboto" w:hAnsi="Roboto"/>
          <w:color w:val="000000" w:themeColor="text1"/>
          <w:sz w:val="20"/>
          <w:szCs w:val="20"/>
        </w:rPr>
        <w:t>; tolerancje ujemne lub mieszane są niedopuszczalne.</w:t>
      </w:r>
    </w:p>
    <w:p w14:paraId="17D65F92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161D28E7" w14:textId="77777777" w:rsidR="00C467D3" w:rsidRPr="0012357D" w:rsidRDefault="00000000">
      <w:pPr>
        <w:pStyle w:val="Nagwek4"/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2.2. Moduły fotowoltaiczne – część dachowa</w:t>
      </w:r>
    </w:p>
    <w:p w14:paraId="77B6D69E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Wymagane parametry minimalne: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a) moc jednostkowa: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≥ 440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Wp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b) sprawność w STC: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21,8%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>c) karta katalogowa musi zawierać dane elektryczne w warunkach NOCT,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d) konstrukcja szkło–szkło, grubość tafli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1,6 mm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szkło hartowane o wysokiej przepuszczalności, klasa ogniowa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C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e) gwarancja produktowa: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min. 12 lat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f) gwarancja liniowa mocy: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min. 30 lat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g) degradacja w pierwszym roku: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≤ 1,0%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h) degradacja po pierwszym roku: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≤ 0,4% rocznie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i) moc po 30 latach: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87,4%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j) odporność mechaniczna: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5400 Pa (śnieg, przód)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oraz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4000 Pa (wiatr, tył)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>k) dodatnia tolerancja mocy wyłącznie dodatnia.</w:t>
      </w:r>
    </w:p>
    <w:p w14:paraId="3C546E26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0E12804C" w14:textId="77777777" w:rsidR="00C467D3" w:rsidRPr="0012357D" w:rsidRDefault="00000000">
      <w:pPr>
        <w:pStyle w:val="Nagwek4"/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2.3. Falowniki</w:t>
      </w:r>
    </w:p>
    <w:p w14:paraId="76D0AAF0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Minimalne wymagania: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a) moc jednostkowa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100 kW ±2%</w:t>
      </w:r>
      <w:r w:rsidRPr="0012357D">
        <w:rPr>
          <w:rFonts w:ascii="Roboto" w:hAnsi="Roboto"/>
          <w:color w:val="000000" w:themeColor="text1"/>
          <w:sz w:val="20"/>
          <w:szCs w:val="20"/>
        </w:rPr>
        <w:t>, trójfazowe, 400 V,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b) europejska sprawność maksymalna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98,6%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c)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THDi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≤ 3%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cosφ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≥ 0,99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d) zakres pracy od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–25°C do +60°C</w:t>
      </w:r>
      <w:r w:rsidRPr="0012357D">
        <w:rPr>
          <w:rFonts w:ascii="Roboto" w:hAnsi="Roboto"/>
          <w:color w:val="000000" w:themeColor="text1"/>
          <w:sz w:val="20"/>
          <w:szCs w:val="20"/>
        </w:rPr>
        <w:t>, bez redukcji mocy do min. +50°C,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</w:r>
      <w:r w:rsidRPr="0012357D">
        <w:rPr>
          <w:rFonts w:ascii="Roboto" w:hAnsi="Roboto"/>
          <w:color w:val="000000" w:themeColor="text1"/>
          <w:sz w:val="20"/>
          <w:szCs w:val="20"/>
        </w:rPr>
        <w:lastRenderedPageBreak/>
        <w:t xml:space="preserve">e) fabrycznie zintegrowana funkcja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AFCI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z czasem reakcji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≤ 2,5 s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f) funkcja skanowania krzywej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I-V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g) komunikacja: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RS485,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Modbus</w:t>
      </w:r>
      <w:proofErr w:type="spellEnd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 TCP/IP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możliwość integracji z SCADA w standardzie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IEC 60870-5-104 lub równoważnym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>h) możliwość zdalnych aktualizacji oprogramowania (OTA),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i) certyfikat zgodności z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NC </w:t>
      </w:r>
      <w:proofErr w:type="spellStart"/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RfG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>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j) gwarancja min.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5 lat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z możliwością przedłużenia do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10 lat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3E3AB665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6D74083F" w14:textId="77777777" w:rsidR="00C467D3" w:rsidRPr="0012357D" w:rsidRDefault="00000000">
      <w:pPr>
        <w:pStyle w:val="Nagwek4"/>
        <w:numPr>
          <w:ilvl w:val="0"/>
          <w:numId w:val="10"/>
        </w:numPr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SCADA i komunikacja</w:t>
      </w:r>
    </w:p>
    <w:p w14:paraId="176D44A3" w14:textId="77777777" w:rsidR="00C467D3" w:rsidRPr="0012357D" w:rsidRDefault="00000000">
      <w:pPr>
        <w:pStyle w:val="NormalnyWeb"/>
        <w:numPr>
          <w:ilvl w:val="0"/>
          <w:numId w:val="6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Wykonawca zapewni system SCADA umożliwiający monitoring, odczyt i sterowanie podstawowymi parametrami instalacji.</w:t>
      </w:r>
    </w:p>
    <w:p w14:paraId="55EEDC7B" w14:textId="77777777" w:rsidR="00C467D3" w:rsidRPr="0012357D" w:rsidRDefault="00000000">
      <w:pPr>
        <w:pStyle w:val="NormalnyWeb"/>
        <w:numPr>
          <w:ilvl w:val="0"/>
          <w:numId w:val="6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Komunikacja musi być możliwa w standardowych protokołach stosowanych przez OSD (m.in.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Modbus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 TCP/IP, IEC 60870-5-104 lub równoważnych).</w:t>
      </w:r>
    </w:p>
    <w:p w14:paraId="478D4E86" w14:textId="77777777" w:rsidR="00C467D3" w:rsidRPr="0012357D" w:rsidRDefault="00000000">
      <w:pPr>
        <w:pStyle w:val="NormalnyWeb"/>
        <w:numPr>
          <w:ilvl w:val="0"/>
          <w:numId w:val="6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Ostateczny protokół komunikacyjny zostanie dobrany zgodnie z warunkami przyłączenia.</w:t>
      </w:r>
    </w:p>
    <w:p w14:paraId="130A3D7B" w14:textId="77777777" w:rsidR="00C467D3" w:rsidRPr="0012357D" w:rsidRDefault="00000000">
      <w:pPr>
        <w:pStyle w:val="NormalnyWeb"/>
        <w:numPr>
          <w:ilvl w:val="0"/>
          <w:numId w:val="6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Wykonawca dostarczy pełną dokumentację integracyjną oraz zapewni wsparcie techniczne w procesie uzgodnień z OSD.</w:t>
      </w:r>
    </w:p>
    <w:p w14:paraId="0AE54026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17DAA894" w14:textId="77777777" w:rsidR="00C467D3" w:rsidRPr="0012357D" w:rsidRDefault="00000000">
      <w:pPr>
        <w:pStyle w:val="Nagwek4"/>
        <w:numPr>
          <w:ilvl w:val="0"/>
          <w:numId w:val="10"/>
        </w:numPr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 xml:space="preserve"> Konstrukcje wsporcze i montażowe</w:t>
      </w:r>
    </w:p>
    <w:p w14:paraId="3A820723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Część gruntowa</w:t>
      </w:r>
      <w:r w:rsidRPr="0012357D">
        <w:rPr>
          <w:rFonts w:ascii="Roboto" w:hAnsi="Roboto"/>
          <w:color w:val="000000" w:themeColor="text1"/>
          <w:sz w:val="20"/>
          <w:szCs w:val="20"/>
        </w:rPr>
        <w:t>:</w:t>
      </w:r>
    </w:p>
    <w:p w14:paraId="2958AD99" w14:textId="77777777" w:rsidR="00C467D3" w:rsidRPr="0012357D" w:rsidRDefault="00C467D3">
      <w:pPr>
        <w:pStyle w:val="NormalnyWeb"/>
        <w:spacing w:before="280" w:after="0"/>
        <w:ind w:left="720"/>
        <w:rPr>
          <w:rFonts w:ascii="Roboto" w:hAnsi="Roboto"/>
          <w:color w:val="000000" w:themeColor="text1"/>
          <w:sz w:val="20"/>
          <w:szCs w:val="20"/>
        </w:rPr>
      </w:pPr>
    </w:p>
    <w:p w14:paraId="4A087EEE" w14:textId="77777777" w:rsidR="00C467D3" w:rsidRPr="0012357D" w:rsidRDefault="00000000">
      <w:pPr>
        <w:pStyle w:val="NormalnyWeb"/>
        <w:numPr>
          <w:ilvl w:val="0"/>
          <w:numId w:val="7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Materiały: stal z powłoką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ocynkową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>, stal nierdzewna, stopy aluminium</w:t>
      </w:r>
    </w:p>
    <w:p w14:paraId="42FA3AB7" w14:textId="77777777" w:rsidR="00C467D3" w:rsidRPr="0012357D" w:rsidRDefault="00000000">
      <w:pPr>
        <w:pStyle w:val="NormalnyWeb"/>
        <w:numPr>
          <w:ilvl w:val="0"/>
          <w:numId w:val="7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Wymóg odporności na warunki atmosferyczne zewnętrzne</w:t>
      </w:r>
    </w:p>
    <w:p w14:paraId="0C70B314" w14:textId="77777777" w:rsidR="00C467D3" w:rsidRPr="0012357D" w:rsidRDefault="00000000">
      <w:pPr>
        <w:pStyle w:val="NormalnyWeb"/>
        <w:numPr>
          <w:ilvl w:val="0"/>
          <w:numId w:val="7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klasa korozyjności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C5</w:t>
      </w:r>
      <w:r w:rsidRPr="0012357D">
        <w:rPr>
          <w:rFonts w:ascii="Roboto" w:hAnsi="Roboto"/>
          <w:color w:val="000000" w:themeColor="text1"/>
          <w:sz w:val="20"/>
          <w:szCs w:val="20"/>
        </w:rPr>
        <w:t>,</w:t>
      </w:r>
    </w:p>
    <w:p w14:paraId="5A92ACED" w14:textId="77777777" w:rsidR="00C467D3" w:rsidRPr="0012357D" w:rsidRDefault="00000000">
      <w:pPr>
        <w:pStyle w:val="NormalnyWeb"/>
        <w:numPr>
          <w:ilvl w:val="0"/>
          <w:numId w:val="7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projekt zgodny z </w:t>
      </w:r>
      <w:proofErr w:type="spellStart"/>
      <w:r w:rsidRPr="0012357D">
        <w:rPr>
          <w:rFonts w:ascii="Roboto" w:hAnsi="Roboto"/>
          <w:color w:val="000000" w:themeColor="text1"/>
          <w:sz w:val="20"/>
          <w:szCs w:val="20"/>
        </w:rPr>
        <w:t>Eurokodem</w:t>
      </w:r>
      <w:proofErr w:type="spellEnd"/>
      <w:r w:rsidRPr="0012357D">
        <w:rPr>
          <w:rFonts w:ascii="Roboto" w:hAnsi="Roboto"/>
          <w:color w:val="000000" w:themeColor="text1"/>
          <w:sz w:val="20"/>
          <w:szCs w:val="20"/>
        </w:rPr>
        <w:t xml:space="preserve"> PN-EN 1991,</w:t>
      </w:r>
    </w:p>
    <w:p w14:paraId="4800F5CF" w14:textId="77777777" w:rsidR="00C467D3" w:rsidRPr="0012357D" w:rsidRDefault="00000000">
      <w:pPr>
        <w:pStyle w:val="NormalnyWeb"/>
        <w:numPr>
          <w:ilvl w:val="0"/>
          <w:numId w:val="7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próby wyrywania min. w 3 lokalizacjach – wynik pozytywny warunkiem odbioru.</w:t>
      </w:r>
    </w:p>
    <w:p w14:paraId="67E2EDBF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Część dachowa</w:t>
      </w:r>
      <w:r w:rsidRPr="0012357D">
        <w:rPr>
          <w:rFonts w:ascii="Roboto" w:hAnsi="Roboto"/>
          <w:color w:val="000000" w:themeColor="text1"/>
          <w:sz w:val="20"/>
          <w:szCs w:val="20"/>
        </w:rPr>
        <w:t>:</w:t>
      </w:r>
    </w:p>
    <w:p w14:paraId="07C7B9A4" w14:textId="77777777" w:rsidR="00C467D3" w:rsidRPr="0012357D" w:rsidRDefault="00000000">
      <w:pPr>
        <w:pStyle w:val="NormalnyWeb"/>
        <w:numPr>
          <w:ilvl w:val="0"/>
          <w:numId w:val="8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konstrukcje dopasowane do pokrycia i konstrukcji dachu,</w:t>
      </w:r>
    </w:p>
    <w:p w14:paraId="142988B8" w14:textId="77777777" w:rsidR="00C467D3" w:rsidRPr="0012357D" w:rsidRDefault="00000000">
      <w:pPr>
        <w:pStyle w:val="NormalnyWeb"/>
        <w:numPr>
          <w:ilvl w:val="0"/>
          <w:numId w:val="8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materiały odporne na korozję,</w:t>
      </w:r>
    </w:p>
    <w:p w14:paraId="186EC0E8" w14:textId="77777777" w:rsidR="00C467D3" w:rsidRPr="0012357D" w:rsidRDefault="00000000">
      <w:pPr>
        <w:pStyle w:val="NormalnyWeb"/>
        <w:numPr>
          <w:ilvl w:val="0"/>
          <w:numId w:val="8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obliczenia statyczne potwierdzone przez projektanta z uprawnieniami,</w:t>
      </w:r>
    </w:p>
    <w:p w14:paraId="6BEB3163" w14:textId="77777777" w:rsidR="00C467D3" w:rsidRPr="0012357D" w:rsidRDefault="00000000">
      <w:pPr>
        <w:pStyle w:val="NormalnyWeb"/>
        <w:numPr>
          <w:ilvl w:val="0"/>
          <w:numId w:val="8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elementy montażowe zabezpieczone antykorozyjnie.</w:t>
      </w:r>
    </w:p>
    <w:p w14:paraId="38D28A24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000A6591" w14:textId="77777777" w:rsidR="00C467D3" w:rsidRPr="0012357D" w:rsidRDefault="00000000">
      <w:pPr>
        <w:pStyle w:val="Nagwek2"/>
        <w:numPr>
          <w:ilvl w:val="0"/>
          <w:numId w:val="9"/>
        </w:numPr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 w:val="20"/>
          <w:szCs w:val="20"/>
        </w:rPr>
        <w:t>Przedmiot zamówienia – Część 2: Dokumentacja projektowa</w:t>
      </w:r>
    </w:p>
    <w:p w14:paraId="29E72107" w14:textId="77777777" w:rsidR="00C467D3" w:rsidRPr="0012357D" w:rsidRDefault="00000000">
      <w:pPr>
        <w:pStyle w:val="Nagwek2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 w:val="20"/>
          <w:szCs w:val="20"/>
        </w:rPr>
        <w:t>II. Przedmiot umowy – Część 2: Dokumentacja projektowa</w:t>
      </w:r>
    </w:p>
    <w:p w14:paraId="22EAC99C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lastRenderedPageBreak/>
        <w:t>Przedmiot umowy w zakresie Części 2 obejmuje opracowanie kompletnej dokumentacji projektowej instalacji fotowoltaicznej, uzyskanie wszelkich wymaganych uzgodnień i opinii, a także realizację czynności towarzyszących, w szczególności:</w:t>
      </w:r>
    </w:p>
    <w:p w14:paraId="24453267" w14:textId="77777777" w:rsidR="00C467D3" w:rsidRPr="0012357D" w:rsidRDefault="00000000">
      <w:pPr>
        <w:pStyle w:val="NormalnyWeb"/>
        <w:numPr>
          <w:ilvl w:val="0"/>
          <w:numId w:val="11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opracowanie dokumentacji projektowej,</w:t>
      </w:r>
    </w:p>
    <w:p w14:paraId="0DAB4CE6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uzyskanie wymaganych uzgodnień formalno-prawnych,</w:t>
      </w:r>
    </w:p>
    <w:p w14:paraId="7FB1BEDC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realizację dostaw, montażu oraz uruchomienia instalacji,</w:t>
      </w:r>
    </w:p>
    <w:p w14:paraId="60F3FDAC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przeprowadzenie prób FAT i SAT,</w:t>
      </w:r>
    </w:p>
    <w:p w14:paraId="0B57A427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wykonanie rozruchu próbnego,</w:t>
      </w:r>
    </w:p>
    <w:p w14:paraId="3C411887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przekazanie instalacji do eksploatacji,</w:t>
      </w:r>
    </w:p>
    <w:p w14:paraId="2856BAE7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integrację instalacji z systemem SCADA,</w:t>
      </w:r>
    </w:p>
    <w:p w14:paraId="224CEAD0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przeprowadzenie szkolenia obsługi Zamawiającego,</w:t>
      </w:r>
    </w:p>
    <w:p w14:paraId="7BD8FE8F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opracowanie i przekazanie dokumentacji powykonawczej.</w:t>
      </w:r>
    </w:p>
    <w:p w14:paraId="4EAA9B5A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Style w:val="cf01"/>
          <w:rFonts w:ascii="Roboto" w:hAnsi="Roboto" w:cs="Times New Roman"/>
          <w:color w:val="000000" w:themeColor="text1"/>
          <w:sz w:val="20"/>
          <w:szCs w:val="20"/>
        </w:rPr>
      </w:pPr>
      <w:r w:rsidRPr="0012357D">
        <w:rPr>
          <w:rStyle w:val="cf01"/>
          <w:rFonts w:ascii="Roboto" w:eastAsiaTheme="majorEastAsia" w:hAnsi="Roboto"/>
          <w:color w:val="000000" w:themeColor="text1"/>
          <w:sz w:val="20"/>
          <w:szCs w:val="20"/>
        </w:rPr>
        <w:t>wykonanie operatu geotechnicznego</w:t>
      </w:r>
    </w:p>
    <w:p w14:paraId="021698A7" w14:textId="77777777" w:rsidR="00C467D3" w:rsidRPr="0012357D" w:rsidRDefault="00000000">
      <w:pPr>
        <w:pStyle w:val="NormalnyWeb"/>
        <w:numPr>
          <w:ilvl w:val="0"/>
          <w:numId w:val="11"/>
        </w:numPr>
        <w:spacing w:after="0"/>
        <w:rPr>
          <w:rStyle w:val="cf01"/>
          <w:rFonts w:ascii="Roboto" w:hAnsi="Roboto" w:cs="Times New Roman"/>
          <w:color w:val="000000" w:themeColor="text1"/>
          <w:sz w:val="20"/>
          <w:szCs w:val="20"/>
        </w:rPr>
      </w:pPr>
      <w:r w:rsidRPr="0012357D">
        <w:rPr>
          <w:rStyle w:val="cf01"/>
          <w:rFonts w:ascii="Roboto" w:eastAsiaTheme="majorEastAsia" w:hAnsi="Roboto"/>
          <w:color w:val="000000" w:themeColor="text1"/>
          <w:sz w:val="20"/>
          <w:szCs w:val="20"/>
        </w:rPr>
        <w:t>PINB – uzyskanie pozwolenia na użytkowanie</w:t>
      </w:r>
    </w:p>
    <w:p w14:paraId="37EAE0B0" w14:textId="77777777" w:rsidR="00C467D3" w:rsidRPr="0012357D" w:rsidRDefault="00000000">
      <w:pPr>
        <w:pStyle w:val="NormalnyWeb"/>
        <w:numPr>
          <w:ilvl w:val="0"/>
          <w:numId w:val="11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Style w:val="cf01"/>
          <w:rFonts w:ascii="Roboto" w:eastAsiaTheme="majorEastAsia" w:hAnsi="Roboto"/>
          <w:color w:val="000000" w:themeColor="text1"/>
          <w:sz w:val="20"/>
          <w:szCs w:val="20"/>
        </w:rPr>
        <w:t xml:space="preserve">MIOZE – </w:t>
      </w:r>
      <w:r w:rsidRPr="0012357D">
        <w:rPr>
          <w:rFonts w:ascii="Roboto" w:eastAsiaTheme="minorEastAsia" w:hAnsi="Roboto" w:cs="Segoe UI"/>
          <w:color w:val="000000" w:themeColor="text1"/>
          <w:sz w:val="20"/>
          <w:szCs w:val="20"/>
          <w:lang w:eastAsia="en-US"/>
        </w:rPr>
        <w:t>Wpis do rejestru wytwórców energii w małej instalacji</w:t>
      </w:r>
    </w:p>
    <w:p w14:paraId="48BA8540" w14:textId="77777777" w:rsidR="00C467D3" w:rsidRPr="0012357D" w:rsidRDefault="00C467D3">
      <w:pPr>
        <w:pStyle w:val="NormalnyWeb"/>
        <w:spacing w:before="280" w:after="280"/>
        <w:ind w:left="720"/>
        <w:rPr>
          <w:rFonts w:ascii="Roboto" w:hAnsi="Roboto"/>
          <w:color w:val="000000" w:themeColor="text1"/>
          <w:sz w:val="20"/>
          <w:szCs w:val="20"/>
        </w:rPr>
      </w:pPr>
    </w:p>
    <w:p w14:paraId="3696B367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4E6D5760" w14:textId="77777777" w:rsidR="00C467D3" w:rsidRPr="0012357D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Dokumentacja projektowa – zakres i forma</w:t>
      </w:r>
    </w:p>
    <w:p w14:paraId="53BDD95D" w14:textId="77777777" w:rsidR="00C467D3" w:rsidRPr="0012357D" w:rsidRDefault="00000000">
      <w:pPr>
        <w:pStyle w:val="NormalnyWeb"/>
        <w:numPr>
          <w:ilvl w:val="0"/>
          <w:numId w:val="12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Dokumentacja projektowa obejmuje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część budowlaną, wykonawczą oraz powykonawczą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3548964F" w14:textId="77777777" w:rsidR="00C467D3" w:rsidRPr="0012357D" w:rsidRDefault="00000000">
      <w:pPr>
        <w:pStyle w:val="NormalnyWeb"/>
        <w:numPr>
          <w:ilvl w:val="0"/>
          <w:numId w:val="12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Dokumentacja zostanie przekazana Zamawiającemu w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2 egzemplarzach papierowych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oraz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1 egzemplarzu elektronicznym w formacie PDF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3CBB2027" w14:textId="77777777" w:rsidR="00C467D3" w:rsidRPr="0012357D" w:rsidRDefault="00C467D3">
      <w:pPr>
        <w:rPr>
          <w:rFonts w:ascii="Roboto" w:hAnsi="Roboto"/>
          <w:color w:val="000000" w:themeColor="text1"/>
          <w:szCs w:val="20"/>
        </w:rPr>
      </w:pPr>
    </w:p>
    <w:p w14:paraId="71CD4EA2" w14:textId="77777777" w:rsidR="00C467D3" w:rsidRPr="0012357D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Odbiór dokumentacji projektowej</w:t>
      </w:r>
    </w:p>
    <w:p w14:paraId="6C4E8E37" w14:textId="77777777" w:rsidR="00C467D3" w:rsidRPr="0012357D" w:rsidRDefault="00000000">
      <w:pPr>
        <w:pStyle w:val="NormalnyWeb"/>
        <w:numPr>
          <w:ilvl w:val="0"/>
          <w:numId w:val="13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Dokumentacja projektowa podlega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odbiorowi warunkowemu</w:t>
      </w:r>
      <w:r w:rsidRPr="0012357D">
        <w:rPr>
          <w:rFonts w:ascii="Roboto" w:hAnsi="Roboto"/>
          <w:color w:val="000000" w:themeColor="text1"/>
          <w:sz w:val="20"/>
          <w:szCs w:val="20"/>
        </w:rPr>
        <w:t>, rozumianemu jako czynność techniczno-prawna potwierdzająca spełnienie przez Wykonawcę wszystkich wymagań określonych w umowie, Specyfikacji Warunków Zamówienia, obowiązujących normach oraz przepisach prawa.</w:t>
      </w:r>
    </w:p>
    <w:p w14:paraId="1CB2CD71" w14:textId="77777777" w:rsidR="00C467D3" w:rsidRPr="0012357D" w:rsidRDefault="00000000">
      <w:pPr>
        <w:pStyle w:val="NormalnyWeb"/>
        <w:numPr>
          <w:ilvl w:val="0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Odbiór dokumentacji może nastąpić wyłącznie w przypadku, gdy całość dokumentacji, w tym w szczególności:</w:t>
      </w:r>
    </w:p>
    <w:p w14:paraId="12802C77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część opisowa i rysunkowa,</w:t>
      </w:r>
    </w:p>
    <w:p w14:paraId="5A367E7C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obliczenia statyczne i wytrzymałościowe,</w:t>
      </w:r>
    </w:p>
    <w:p w14:paraId="779F5028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opinie geotechniczne,</w:t>
      </w:r>
    </w:p>
    <w:p w14:paraId="35D30B10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raporty z badań,</w:t>
      </w:r>
    </w:p>
    <w:p w14:paraId="7C5C3A74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zestawienia materiałów,</w:t>
      </w:r>
    </w:p>
    <w:p w14:paraId="793B6594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schematy wykonawcze,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  <w:t xml:space="preserve">jest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kompletna, spójna, jednoznaczna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oraz oznaczona zgodnie z normą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PN-EN ISO 7200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76B4DF44" w14:textId="77777777" w:rsidR="00C467D3" w:rsidRPr="0012357D" w:rsidRDefault="00000000">
      <w:pPr>
        <w:pStyle w:val="NormalnyWeb"/>
        <w:numPr>
          <w:ilvl w:val="0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W przypadku stwierdzenia braków, rozbieżności, niejasności, błędów edycyjnych lub niespójności, Zamawiający ma prawo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odmówić odbioru dokumentacji w całości lub w części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a Wykonawca zobowiązany jest do dokonania stosownych korekt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na własny koszt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i w terminie wskazanym przez Zamawiającego.</w:t>
      </w:r>
    </w:p>
    <w:p w14:paraId="13E62154" w14:textId="77777777" w:rsidR="00C467D3" w:rsidRPr="0012357D" w:rsidRDefault="00000000">
      <w:pPr>
        <w:pStyle w:val="NormalnyWeb"/>
        <w:numPr>
          <w:ilvl w:val="0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Za niespełnienie warunków odbioru uznaje się również w szczególności:</w:t>
      </w:r>
    </w:p>
    <w:p w14:paraId="7E993D19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brak numeracji stron,</w:t>
      </w:r>
    </w:p>
    <w:p w14:paraId="57C9E104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lastRenderedPageBreak/>
        <w:t>brak daty opracowania,</w:t>
      </w:r>
    </w:p>
    <w:p w14:paraId="76CA36E2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brak podpisu projektanta wraz z numerem uprawnień,</w:t>
      </w:r>
    </w:p>
    <w:p w14:paraId="46A8738A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brak potwierdzenia przynależności projektanta do właściwej izby samorządu zawodowego,</w:t>
      </w:r>
    </w:p>
    <w:p w14:paraId="47653D4A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brak klauzuli o zgodności dokumentacji z obowiązującymi przepisami,</w:t>
      </w:r>
    </w:p>
    <w:p w14:paraId="11ED16A7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brak zestawienia zmian wprowadzonych w stosunku do założeń projektowych.</w:t>
      </w:r>
    </w:p>
    <w:p w14:paraId="4F8AC52E" w14:textId="77777777" w:rsidR="00C467D3" w:rsidRPr="0012357D" w:rsidRDefault="00000000">
      <w:pPr>
        <w:pStyle w:val="NormalnyWeb"/>
        <w:numPr>
          <w:ilvl w:val="0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Odbiór dokumentacji nie może nastąpić bez:</w:t>
      </w:r>
    </w:p>
    <w:p w14:paraId="19BB5E9D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przedstawienia raportu z prób wyrywania konstrukcji wsporczych,</w:t>
      </w:r>
    </w:p>
    <w:p w14:paraId="44296BE6" w14:textId="77777777" w:rsidR="00C467D3" w:rsidRPr="0012357D" w:rsidRDefault="00000000">
      <w:pPr>
        <w:pStyle w:val="NormalnyWeb"/>
        <w:numPr>
          <w:ilvl w:val="1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złożenia oświadczenia projektanta o sporządzeniu dokumentacji zgodnie z obowiązującymi przepisami prawa, normami technicznymi oraz zasadami najlepszej wiedzy technicznej.</w:t>
      </w:r>
    </w:p>
    <w:p w14:paraId="041D3F9C" w14:textId="77777777" w:rsidR="00C467D3" w:rsidRPr="0012357D" w:rsidRDefault="00000000">
      <w:pPr>
        <w:pStyle w:val="NormalnyWeb"/>
        <w:numPr>
          <w:ilvl w:val="0"/>
          <w:numId w:val="13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Zamawiający zastrzega sobie prawo do powołania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niezależnego audytora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w celu weryfikacji dokumentacji projektowej. W przypadku stwierdzenia uchybień, Wykonawca zobowiązany jest do ich usunięcia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na własny koszt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711DEA1C" w14:textId="77777777" w:rsidR="00C467D3" w:rsidRPr="0012357D" w:rsidRDefault="00000000">
      <w:pPr>
        <w:pStyle w:val="NormalnyWeb"/>
        <w:numPr>
          <w:ilvl w:val="0"/>
          <w:numId w:val="13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 xml:space="preserve">Odbiór dokumentacji projektowej następuje w formie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protokołu odbioru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, który nie może zawierać zastrzeżeń. Wszelkie uwagi Zamawiającego zgłoszone w toku odbioru i ujęte w protokole mają charakter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wiążący</w:t>
      </w:r>
      <w:r w:rsidRPr="0012357D">
        <w:rPr>
          <w:rFonts w:ascii="Roboto" w:hAnsi="Roboto"/>
          <w:color w:val="000000" w:themeColor="text1"/>
          <w:sz w:val="20"/>
          <w:szCs w:val="20"/>
        </w:rPr>
        <w:t>.</w:t>
      </w:r>
    </w:p>
    <w:p w14:paraId="23AB14FB" w14:textId="77777777" w:rsidR="00C467D3" w:rsidRPr="0012357D" w:rsidRDefault="00C467D3">
      <w:pPr>
        <w:pStyle w:val="Nagwek3"/>
        <w:rPr>
          <w:rStyle w:val="Pogrubienie"/>
          <w:rFonts w:ascii="Roboto" w:hAnsi="Roboto"/>
          <w:b/>
          <w:bCs/>
          <w:color w:val="000000" w:themeColor="text1"/>
          <w:szCs w:val="20"/>
        </w:rPr>
      </w:pPr>
    </w:p>
    <w:p w14:paraId="7550AEBB" w14:textId="77777777" w:rsidR="00C467D3" w:rsidRPr="0012357D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12357D">
        <w:rPr>
          <w:rStyle w:val="Pogrubienie"/>
          <w:rFonts w:ascii="Roboto" w:hAnsi="Roboto"/>
          <w:b/>
          <w:bCs/>
          <w:color w:val="000000" w:themeColor="text1"/>
          <w:szCs w:val="20"/>
        </w:rPr>
        <w:t>Oświadczenie Wykonawcy</w:t>
      </w:r>
    </w:p>
    <w:p w14:paraId="334C3C10" w14:textId="77777777" w:rsidR="00C467D3" w:rsidRPr="0012357D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12357D">
        <w:rPr>
          <w:rFonts w:ascii="Roboto" w:hAnsi="Roboto"/>
          <w:color w:val="000000" w:themeColor="text1"/>
          <w:sz w:val="20"/>
          <w:szCs w:val="20"/>
        </w:rPr>
        <w:t>Oświadczam, że oferowany przedmiot zamówienia w ramach niniejszego postępowania dla firmy</w:t>
      </w:r>
      <w:r w:rsidRPr="0012357D">
        <w:rPr>
          <w:rFonts w:ascii="Roboto" w:hAnsi="Roboto"/>
          <w:color w:val="000000" w:themeColor="text1"/>
          <w:sz w:val="20"/>
          <w:szCs w:val="20"/>
        </w:rPr>
        <w:br/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„OPAKOFARB” Zakład Produkcji Opakowań Sp. z o.o.</w:t>
      </w:r>
      <w:r w:rsidRPr="0012357D">
        <w:rPr>
          <w:rFonts w:ascii="Roboto" w:hAnsi="Roboto"/>
          <w:color w:val="000000" w:themeColor="text1"/>
          <w:sz w:val="20"/>
          <w:szCs w:val="20"/>
        </w:rPr>
        <w:t xml:space="preserve"> spełnia wszystkie </w:t>
      </w:r>
      <w:r w:rsidRPr="0012357D">
        <w:rPr>
          <w:rStyle w:val="Pogrubienie"/>
          <w:rFonts w:ascii="Roboto" w:hAnsi="Roboto"/>
          <w:color w:val="000000" w:themeColor="text1"/>
          <w:sz w:val="20"/>
          <w:szCs w:val="20"/>
        </w:rPr>
        <w:t>minimalne i wymagane przez Zamawiającego parametry techniczne</w:t>
      </w:r>
      <w:r w:rsidRPr="0012357D">
        <w:rPr>
          <w:rFonts w:ascii="Roboto" w:hAnsi="Roboto"/>
          <w:color w:val="000000" w:themeColor="text1"/>
          <w:sz w:val="20"/>
          <w:szCs w:val="20"/>
        </w:rPr>
        <w:t>, określone w niniejszym Załączniku nr 1a.</w:t>
      </w:r>
    </w:p>
    <w:p w14:paraId="0EA8FCAB" w14:textId="77777777" w:rsidR="00C467D3" w:rsidRPr="0012357D" w:rsidRDefault="00C467D3">
      <w:pPr>
        <w:spacing w:beforeAutospacing="1" w:afterAutospacing="1"/>
        <w:rPr>
          <w:rFonts w:ascii="Roboto" w:eastAsia="Times New Roman" w:hAnsi="Roboto" w:cs="Times New Roman"/>
          <w:color w:val="000000" w:themeColor="text1"/>
          <w:szCs w:val="20"/>
          <w:lang w:eastAsia="pl-PL"/>
        </w:rPr>
      </w:pPr>
    </w:p>
    <w:p w14:paraId="03F1F135" w14:textId="77777777" w:rsidR="00C467D3" w:rsidRPr="0012357D" w:rsidRDefault="00C467D3">
      <w:pPr>
        <w:rPr>
          <w:rFonts w:ascii="Roboto" w:hAnsi="Roboto" w:cs="Calibri"/>
          <w:color w:val="000000" w:themeColor="text1"/>
          <w:szCs w:val="20"/>
        </w:rPr>
      </w:pPr>
    </w:p>
    <w:tbl>
      <w:tblPr>
        <w:tblStyle w:val="Tabela-Siatka"/>
        <w:tblW w:w="9344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357D" w:rsidRPr="0012357D" w14:paraId="57081D52" w14:textId="77777777">
        <w:trPr>
          <w:trHeight w:val="1383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43DC" w14:textId="77777777" w:rsidR="00C467D3" w:rsidRPr="0012357D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  <w:r w:rsidRPr="0012357D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  <w:t>Miejscowość…………….……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4550" w14:textId="77777777" w:rsidR="00C467D3" w:rsidRPr="0012357D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  <w:r w:rsidRPr="0012357D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  <w:t>dnia………………………….. r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C13D" w14:textId="77777777" w:rsidR="00C467D3" w:rsidRPr="0012357D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  <w:r w:rsidRPr="0012357D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  <w:t>……………..…………………………..</w:t>
            </w:r>
          </w:p>
        </w:tc>
      </w:tr>
      <w:tr w:rsidR="00C467D3" w:rsidRPr="0012357D" w14:paraId="1E496E24" w14:textId="7777777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D59BCA9" w14:textId="77777777" w:rsidR="00C467D3" w:rsidRPr="0012357D" w:rsidRDefault="00C467D3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26A7927C" w14:textId="77777777" w:rsidR="00C467D3" w:rsidRPr="0012357D" w:rsidRDefault="00C467D3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05AB78E4" w14:textId="77777777" w:rsidR="00C467D3" w:rsidRPr="0012357D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  <w:r w:rsidRPr="0012357D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vertAlign w:val="subscript"/>
                <w:lang w:eastAsia="ar-SA"/>
              </w:rPr>
              <w:t>(podpis i pieczęć wystawcy ofert)</w:t>
            </w:r>
          </w:p>
        </w:tc>
      </w:tr>
    </w:tbl>
    <w:p w14:paraId="02130E1C" w14:textId="77777777" w:rsidR="00C467D3" w:rsidRPr="0012357D" w:rsidRDefault="00C467D3">
      <w:pPr>
        <w:rPr>
          <w:rFonts w:ascii="Roboto" w:hAnsi="Roboto" w:cs="Calibri"/>
          <w:color w:val="000000" w:themeColor="text1"/>
          <w:szCs w:val="20"/>
        </w:rPr>
      </w:pPr>
    </w:p>
    <w:sectPr w:rsidR="00C467D3" w:rsidRPr="001235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624" w:left="1418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1677" w14:textId="77777777" w:rsidR="00A168F3" w:rsidRDefault="00A168F3">
      <w:pPr>
        <w:spacing w:after="0" w:line="240" w:lineRule="auto"/>
      </w:pPr>
      <w:r>
        <w:separator/>
      </w:r>
    </w:p>
  </w:endnote>
  <w:endnote w:type="continuationSeparator" w:id="0">
    <w:p w14:paraId="4229BB6B" w14:textId="77777777" w:rsidR="00A168F3" w:rsidRDefault="00A1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F525" w14:textId="77777777" w:rsidR="00C467D3" w:rsidRDefault="00C467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797941"/>
      <w:docPartObj>
        <w:docPartGallery w:val="Page Numbers (Bottom of Page)"/>
        <w:docPartUnique/>
      </w:docPartObj>
    </w:sdtPr>
    <w:sdtContent>
      <w:p w14:paraId="0BFFA068" w14:textId="77777777" w:rsidR="00C467D3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68B9758B" w14:textId="77777777" w:rsidR="00C467D3" w:rsidRDefault="00C467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7972731"/>
      <w:docPartObj>
        <w:docPartGallery w:val="Page Numbers (Bottom of Page)"/>
        <w:docPartUnique/>
      </w:docPartObj>
    </w:sdtPr>
    <w:sdtContent>
      <w:p w14:paraId="0FE3885A" w14:textId="77777777" w:rsidR="00C467D3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26F2B086" w14:textId="77777777" w:rsidR="00C467D3" w:rsidRDefault="00C467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E5594" w14:textId="77777777" w:rsidR="00A168F3" w:rsidRDefault="00A168F3">
      <w:pPr>
        <w:spacing w:after="0" w:line="240" w:lineRule="auto"/>
      </w:pPr>
      <w:r>
        <w:separator/>
      </w:r>
    </w:p>
  </w:footnote>
  <w:footnote w:type="continuationSeparator" w:id="0">
    <w:p w14:paraId="3C6D17CE" w14:textId="77777777" w:rsidR="00A168F3" w:rsidRDefault="00A16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FE10" w14:textId="77777777" w:rsidR="00C467D3" w:rsidRDefault="00C467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4DB8" w14:textId="77777777" w:rsidR="00C467D3" w:rsidRDefault="00C467D3">
    <w:pPr>
      <w:spacing w:after="0"/>
      <w:rPr>
        <w:sz w:val="2"/>
        <w:szCs w:val="2"/>
      </w:rPr>
    </w:pPr>
  </w:p>
  <w:p w14:paraId="17347798" w14:textId="77777777" w:rsidR="00C467D3" w:rsidRDefault="00000000">
    <w:pPr>
      <w:pStyle w:val="Nagwek2"/>
    </w:pPr>
    <w:r>
      <w:rPr>
        <w:noProof/>
      </w:rPr>
      <w:drawing>
        <wp:inline distT="0" distB="0" distL="0" distR="0" wp14:anchorId="4BF2665C" wp14:editId="2D4DA98B">
          <wp:extent cx="5760720" cy="6724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DCBD56" w14:textId="77777777" w:rsidR="00C467D3" w:rsidRDefault="00000000">
    <w:pPr>
      <w:pStyle w:val="Nagwek2"/>
    </w:pPr>
    <w:r>
      <w:t>.</w:t>
    </w:r>
  </w:p>
  <w:p w14:paraId="79587224" w14:textId="77777777" w:rsidR="00C467D3" w:rsidRDefault="00C467D3">
    <w:pPr>
      <w:shd w:val="clear" w:color="auto" w:fill="CCCCCC"/>
      <w:rPr>
        <w:sz w:val="22"/>
      </w:rPr>
    </w:pPr>
  </w:p>
  <w:p w14:paraId="511FD07B" w14:textId="77777777" w:rsidR="00C467D3" w:rsidRDefault="00C467D3">
    <w:pPr>
      <w:pStyle w:val="Nagwek"/>
      <w:rPr>
        <w:szCs w:val="20"/>
      </w:rPr>
    </w:pPr>
  </w:p>
  <w:p w14:paraId="4C8DCCD5" w14:textId="77777777" w:rsidR="00C467D3" w:rsidRDefault="00C467D3">
    <w:pPr>
      <w:pStyle w:val="Nagwek"/>
      <w:rPr>
        <w:rFonts w:cs="Calibri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C1C3" w14:textId="77777777" w:rsidR="00C467D3" w:rsidRDefault="00C467D3">
    <w:pPr>
      <w:spacing w:after="0"/>
      <w:rPr>
        <w:sz w:val="2"/>
        <w:szCs w:val="2"/>
      </w:rPr>
    </w:pPr>
  </w:p>
  <w:p w14:paraId="32513B25" w14:textId="77777777" w:rsidR="00C467D3" w:rsidRDefault="00000000">
    <w:pPr>
      <w:pStyle w:val="Nagwek2"/>
    </w:pPr>
    <w:r>
      <w:rPr>
        <w:noProof/>
      </w:rPr>
      <w:drawing>
        <wp:inline distT="0" distB="0" distL="0" distR="0" wp14:anchorId="176E1656" wp14:editId="755B96BD">
          <wp:extent cx="5760720" cy="67246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6C418" w14:textId="77777777" w:rsidR="00C467D3" w:rsidRDefault="00000000">
    <w:pPr>
      <w:pStyle w:val="Nagwek2"/>
    </w:pPr>
    <w:r>
      <w:t>.</w:t>
    </w:r>
  </w:p>
  <w:p w14:paraId="28ADBBC4" w14:textId="77777777" w:rsidR="00C467D3" w:rsidRDefault="00C467D3">
    <w:pPr>
      <w:shd w:val="clear" w:color="auto" w:fill="CCCCCC"/>
      <w:rPr>
        <w:sz w:val="22"/>
      </w:rPr>
    </w:pPr>
  </w:p>
  <w:p w14:paraId="2C09092C" w14:textId="77777777" w:rsidR="00C467D3" w:rsidRDefault="00C467D3">
    <w:pPr>
      <w:pStyle w:val="Nagwek"/>
      <w:rPr>
        <w:szCs w:val="20"/>
      </w:rPr>
    </w:pPr>
  </w:p>
  <w:p w14:paraId="71B1B4F3" w14:textId="77777777" w:rsidR="00C467D3" w:rsidRDefault="00C467D3">
    <w:pPr>
      <w:pStyle w:val="Nagwek"/>
      <w:rPr>
        <w:rFonts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83195"/>
    <w:multiLevelType w:val="multilevel"/>
    <w:tmpl w:val="D5BE599E"/>
    <w:lvl w:ilvl="0">
      <w:start w:val="1"/>
      <w:numFmt w:val="bullet"/>
      <w:pStyle w:val="Punktor"/>
      <w:lvlText w:val="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B57186"/>
    <w:multiLevelType w:val="multilevel"/>
    <w:tmpl w:val="E968F19A"/>
    <w:lvl w:ilvl="0">
      <w:start w:val="1"/>
      <w:numFmt w:val="upperLetter"/>
      <w:pStyle w:val="Litery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4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2CB97EA9"/>
    <w:multiLevelType w:val="multilevel"/>
    <w:tmpl w:val="E648069A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E02C05"/>
    <w:multiLevelType w:val="multilevel"/>
    <w:tmpl w:val="EA344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A03856"/>
    <w:multiLevelType w:val="multilevel"/>
    <w:tmpl w:val="F148F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23309A"/>
    <w:multiLevelType w:val="multilevel"/>
    <w:tmpl w:val="A7D2BA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4924D94"/>
    <w:multiLevelType w:val="multilevel"/>
    <w:tmpl w:val="D6EE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545F060B"/>
    <w:multiLevelType w:val="multilevel"/>
    <w:tmpl w:val="26DE8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7E4EDD"/>
    <w:multiLevelType w:val="multilevel"/>
    <w:tmpl w:val="8A568D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11369B7"/>
    <w:multiLevelType w:val="multilevel"/>
    <w:tmpl w:val="B93CD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3108E9"/>
    <w:multiLevelType w:val="multilevel"/>
    <w:tmpl w:val="25C426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F887E4F"/>
    <w:multiLevelType w:val="multilevel"/>
    <w:tmpl w:val="CA0A7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E725BE"/>
    <w:multiLevelType w:val="multilevel"/>
    <w:tmpl w:val="4430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7FA83333"/>
    <w:multiLevelType w:val="multilevel"/>
    <w:tmpl w:val="BCF6A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0707183">
    <w:abstractNumId w:val="5"/>
  </w:num>
  <w:num w:numId="2" w16cid:durableId="1700741966">
    <w:abstractNumId w:val="0"/>
  </w:num>
  <w:num w:numId="3" w16cid:durableId="1606885193">
    <w:abstractNumId w:val="1"/>
  </w:num>
  <w:num w:numId="4" w16cid:durableId="1423263361">
    <w:abstractNumId w:val="13"/>
  </w:num>
  <w:num w:numId="5" w16cid:durableId="1494956107">
    <w:abstractNumId w:val="4"/>
  </w:num>
  <w:num w:numId="6" w16cid:durableId="1617254891">
    <w:abstractNumId w:val="11"/>
  </w:num>
  <w:num w:numId="7" w16cid:durableId="2083523447">
    <w:abstractNumId w:val="12"/>
  </w:num>
  <w:num w:numId="8" w16cid:durableId="1306158975">
    <w:abstractNumId w:val="6"/>
  </w:num>
  <w:num w:numId="9" w16cid:durableId="1598947340">
    <w:abstractNumId w:val="2"/>
  </w:num>
  <w:num w:numId="10" w16cid:durableId="144976345">
    <w:abstractNumId w:val="8"/>
  </w:num>
  <w:num w:numId="11" w16cid:durableId="922645665">
    <w:abstractNumId w:val="3"/>
  </w:num>
  <w:num w:numId="12" w16cid:durableId="1730572677">
    <w:abstractNumId w:val="9"/>
  </w:num>
  <w:num w:numId="13" w16cid:durableId="257300376">
    <w:abstractNumId w:val="7"/>
  </w:num>
  <w:num w:numId="14" w16cid:durableId="5161914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D3"/>
    <w:rsid w:val="0012357D"/>
    <w:rsid w:val="001E161F"/>
    <w:rsid w:val="001E49A2"/>
    <w:rsid w:val="00223CCD"/>
    <w:rsid w:val="004B6DE2"/>
    <w:rsid w:val="005645B3"/>
    <w:rsid w:val="0066022D"/>
    <w:rsid w:val="007A7B8B"/>
    <w:rsid w:val="00A168F3"/>
    <w:rsid w:val="00AA4171"/>
    <w:rsid w:val="00B534F8"/>
    <w:rsid w:val="00C467D3"/>
    <w:rsid w:val="00C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5477"/>
  <w15:docId w15:val="{76DADA6A-8E24-4EB8-850E-46F40473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823"/>
    <w:pPr>
      <w:suppressAutoHyphens w:val="0"/>
      <w:spacing w:after="200" w:line="276" w:lineRule="auto"/>
      <w:jc w:val="both"/>
    </w:pPr>
    <w:rPr>
      <w:rFonts w:ascii="Calibri" w:hAnsi="Calibr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4594"/>
    <w:pPr>
      <w:shd w:val="clear" w:color="auto" w:fill="D9D9D9" w:themeFill="background1" w:themeFillShade="D9"/>
      <w:spacing w:before="480" w:after="240" w:line="240" w:lineRule="auto"/>
      <w:contextualSpacing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52621"/>
    <w:pPr>
      <w:spacing w:before="240" w:after="0"/>
      <w:jc w:val="left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6C0D"/>
    <w:pPr>
      <w:spacing w:before="200" w:after="60" w:line="271" w:lineRule="auto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D106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D106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06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06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06C"/>
    <w:pPr>
      <w:spacing w:after="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06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7B2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27B29"/>
  </w:style>
  <w:style w:type="character" w:customStyle="1" w:styleId="StopkaZnak">
    <w:name w:val="Stopka Znak"/>
    <w:basedOn w:val="Domylnaczcionkaakapitu"/>
    <w:link w:val="Stopka"/>
    <w:uiPriority w:val="99"/>
    <w:qFormat/>
    <w:rsid w:val="00927B29"/>
  </w:style>
  <w:style w:type="character" w:customStyle="1" w:styleId="TytuZnak">
    <w:name w:val="Tytuł Znak"/>
    <w:basedOn w:val="Domylnaczcionkaakapitu"/>
    <w:link w:val="Tytu"/>
    <w:uiPriority w:val="10"/>
    <w:qFormat/>
    <w:rsid w:val="00AD106C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zeinternetowe">
    <w:name w:val="Łącze internetowe"/>
    <w:basedOn w:val="Domylnaczcionkaakapitu"/>
    <w:uiPriority w:val="99"/>
    <w:unhideWhenUsed/>
    <w:rsid w:val="00104138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E5823"/>
    <w:rPr>
      <w:rFonts w:ascii="Calibri" w:eastAsiaTheme="majorEastAsia" w:hAnsi="Calibri" w:cstheme="majorBidi"/>
      <w:b/>
      <w:bCs/>
      <w:sz w:val="24"/>
      <w:szCs w:val="28"/>
      <w:shd w:val="clear" w:color="auto" w:fill="D9D9D9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2B2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52621"/>
    <w:rPr>
      <w:rFonts w:ascii="Calibri" w:eastAsiaTheme="majorEastAsia" w:hAnsi="Calibri" w:cstheme="majorBidi"/>
      <w:b/>
      <w:bCs/>
      <w:sz w:val="24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252B22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252B22"/>
  </w:style>
  <w:style w:type="character" w:styleId="Numerwiersza">
    <w:name w:val="line number"/>
    <w:basedOn w:val="Domylnaczcionkaakapitu"/>
    <w:uiPriority w:val="99"/>
    <w:semiHidden/>
    <w:unhideWhenUsed/>
    <w:qFormat/>
    <w:rsid w:val="00AD106C"/>
  </w:style>
  <w:style w:type="character" w:customStyle="1" w:styleId="Nagwek3Znak">
    <w:name w:val="Nagłówek 3 Znak"/>
    <w:basedOn w:val="Domylnaczcionkaakapitu"/>
    <w:link w:val="Nagwek3"/>
    <w:uiPriority w:val="9"/>
    <w:qFormat/>
    <w:rsid w:val="00FB6C0D"/>
    <w:rPr>
      <w:rFonts w:ascii="Calibri" w:eastAsiaTheme="majorEastAsia" w:hAnsi="Calibri" w:cstheme="majorBidi"/>
      <w:b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AD10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D106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D106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D106C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D106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D106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D106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AD106C"/>
    <w:rPr>
      <w:b/>
      <w:bCs/>
    </w:rPr>
  </w:style>
  <w:style w:type="character" w:customStyle="1" w:styleId="Wyrnienie">
    <w:name w:val="Wyróżnienie"/>
    <w:uiPriority w:val="20"/>
    <w:qFormat/>
    <w:rsid w:val="00AD106C"/>
    <w:rPr>
      <w:b/>
      <w:bCs/>
      <w:i/>
      <w:iCs/>
      <w:spacing w:val="10"/>
      <w:shd w:val="clear" w:color="auto" w:fil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D106C"/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D106C"/>
    <w:rPr>
      <w:b/>
      <w:bCs/>
      <w:i/>
      <w:iCs/>
    </w:rPr>
  </w:style>
  <w:style w:type="character" w:styleId="Wyrnieniedelikatne">
    <w:name w:val="Subtle Emphasis"/>
    <w:uiPriority w:val="19"/>
    <w:qFormat/>
    <w:rsid w:val="00AD106C"/>
    <w:rPr>
      <w:i/>
      <w:iCs/>
    </w:rPr>
  </w:style>
  <w:style w:type="character" w:styleId="Wyrnienieintensywne">
    <w:name w:val="Intense Emphasis"/>
    <w:uiPriority w:val="21"/>
    <w:qFormat/>
    <w:rsid w:val="00AD106C"/>
    <w:rPr>
      <w:b/>
      <w:bCs/>
    </w:rPr>
  </w:style>
  <w:style w:type="character" w:styleId="Odwoaniedelikatne">
    <w:name w:val="Subtle Reference"/>
    <w:uiPriority w:val="31"/>
    <w:qFormat/>
    <w:rsid w:val="00AD106C"/>
    <w:rPr>
      <w:smallCaps/>
    </w:rPr>
  </w:style>
  <w:style w:type="character" w:styleId="Odwoanieintensywne">
    <w:name w:val="Intense Reference"/>
    <w:uiPriority w:val="32"/>
    <w:qFormat/>
    <w:rsid w:val="00AD106C"/>
    <w:rPr>
      <w:smallCaps/>
      <w:spacing w:val="5"/>
      <w:u w:val="single"/>
    </w:rPr>
  </w:style>
  <w:style w:type="character" w:styleId="Tytuksiki">
    <w:name w:val="Book Title"/>
    <w:uiPriority w:val="33"/>
    <w:qFormat/>
    <w:rsid w:val="00AD106C"/>
    <w:rPr>
      <w:i/>
      <w:iCs/>
      <w:smallCaps/>
      <w:spacing w:val="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D106C"/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D9699C"/>
  </w:style>
  <w:style w:type="character" w:customStyle="1" w:styleId="PunktorZnak">
    <w:name w:val="Punktor Znak"/>
    <w:basedOn w:val="AkapitzlistZnak"/>
    <w:link w:val="Punktor"/>
    <w:qFormat/>
    <w:rsid w:val="00D9699C"/>
    <w:rPr>
      <w:rFonts w:ascii="Calibri" w:hAnsi="Calibri"/>
      <w:sz w:val="20"/>
    </w:rPr>
  </w:style>
  <w:style w:type="character" w:customStyle="1" w:styleId="LiterowanieZnak">
    <w:name w:val="Literowanie Znak"/>
    <w:basedOn w:val="AkapitzlistZnak"/>
    <w:link w:val="Literowanie"/>
    <w:qFormat/>
    <w:rsid w:val="00E770B0"/>
  </w:style>
  <w:style w:type="character" w:customStyle="1" w:styleId="LiteryZnak">
    <w:name w:val="Litery Znak"/>
    <w:basedOn w:val="LiterowanieZnak"/>
    <w:link w:val="Litery"/>
    <w:qFormat/>
    <w:rsid w:val="005B3E3B"/>
    <w:rPr>
      <w:rFonts w:ascii="Calibri" w:hAnsi="Calibri"/>
      <w:sz w:val="20"/>
    </w:rPr>
  </w:style>
  <w:style w:type="character" w:customStyle="1" w:styleId="PrzedpunktoremZnak">
    <w:name w:val="Przed punktorem Znak"/>
    <w:basedOn w:val="Domylnaczcionkaakapitu"/>
    <w:link w:val="Przedpunktorem"/>
    <w:qFormat/>
    <w:rsid w:val="00114F3E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15E6C"/>
    <w:rPr>
      <w:color w:val="808080"/>
      <w:shd w:val="clear" w:color="auto" w:fill="E6E6E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6D40B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D40BB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9342CC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46387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87CB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87CB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87CB6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482362"/>
    <w:rPr>
      <w:color w:val="808080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FA4CBD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qFormat/>
    <w:rsid w:val="000E2AEF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Domylnaczcionkaakapitu"/>
    <w:qFormat/>
    <w:rsid w:val="002066A6"/>
    <w:rPr>
      <w:rFonts w:ascii="Segoe UI" w:hAnsi="Segoe UI" w:cs="Segoe UI"/>
      <w:b/>
      <w:bCs/>
      <w:sz w:val="18"/>
      <w:szCs w:val="18"/>
    </w:rPr>
  </w:style>
  <w:style w:type="paragraph" w:styleId="Nagwek">
    <w:name w:val="header"/>
    <w:basedOn w:val="Normalny"/>
    <w:next w:val="Tekstpodstawowy"/>
    <w:link w:val="NagwekZnak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252B22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D106C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7B2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AD106C"/>
    <w:pPr>
      <w:pBdr>
        <w:bottom w:val="single" w:sz="4" w:space="1" w:color="000000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pistreci1">
    <w:name w:val="toc 1"/>
    <w:basedOn w:val="Normalny"/>
    <w:next w:val="Normalny"/>
    <w:uiPriority w:val="39"/>
    <w:rsid w:val="00BE5823"/>
    <w:pPr>
      <w:spacing w:before="120" w:after="120"/>
      <w:jc w:val="left"/>
    </w:pPr>
    <w:rPr>
      <w:rFonts w:cstheme="minorHAnsi"/>
      <w:b/>
      <w:bCs/>
      <w:caps/>
      <w:szCs w:val="20"/>
    </w:rPr>
  </w:style>
  <w:style w:type="paragraph" w:styleId="Spistreci2">
    <w:name w:val="toc 2"/>
    <w:basedOn w:val="Normalny"/>
    <w:next w:val="Normalny"/>
    <w:uiPriority w:val="39"/>
    <w:rsid w:val="005B1EE2"/>
    <w:pPr>
      <w:spacing w:after="0"/>
      <w:ind w:left="220"/>
      <w:jc w:val="left"/>
    </w:pPr>
    <w:rPr>
      <w:rFonts w:cstheme="minorHAnsi"/>
      <w:smallCaps/>
      <w:szCs w:val="20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AD106C"/>
    <w:pPr>
      <w:outlineLvl w:val="9"/>
    </w:pPr>
    <w:rPr>
      <w:lang w:bidi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2D2C7D"/>
    <w:pPr>
      <w:tabs>
        <w:tab w:val="right" w:leader="hyphen" w:pos="9344"/>
      </w:tabs>
      <w:spacing w:after="0"/>
      <w:ind w:left="440"/>
      <w:jc w:val="left"/>
    </w:pPr>
    <w:rPr>
      <w:rFonts w:cstheme="minorHAnsi"/>
      <w:smallCaps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D106C"/>
    <w:pPr>
      <w:ind w:left="720"/>
      <w:contextualSpacing/>
    </w:pPr>
  </w:style>
  <w:style w:type="paragraph" w:styleId="Spistreci5">
    <w:name w:val="toc 5"/>
    <w:basedOn w:val="Normalny"/>
    <w:next w:val="Normalny"/>
    <w:autoRedefine/>
    <w:uiPriority w:val="39"/>
    <w:unhideWhenUsed/>
    <w:rsid w:val="00252B22"/>
    <w:pPr>
      <w:spacing w:after="0"/>
      <w:ind w:left="880"/>
      <w:jc w:val="left"/>
    </w:pPr>
    <w:rPr>
      <w:rFonts w:cstheme="minorHAnsi"/>
      <w:sz w:val="18"/>
      <w:szCs w:val="18"/>
    </w:rPr>
  </w:style>
  <w:style w:type="paragraph" w:styleId="Listapunktowana">
    <w:name w:val="List Bullet"/>
    <w:basedOn w:val="Normalny"/>
    <w:autoRedefine/>
    <w:qFormat/>
    <w:rsid w:val="00252B22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2B22"/>
    <w:pPr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252B22"/>
    <w:pPr>
      <w:spacing w:line="480" w:lineRule="auto"/>
    </w:pPr>
  </w:style>
  <w:style w:type="paragraph" w:customStyle="1" w:styleId="Tekstpodstawowy21">
    <w:name w:val="Tekst podstawowy 21"/>
    <w:basedOn w:val="Normalny"/>
    <w:qFormat/>
    <w:rsid w:val="00252B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06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AD10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D106C"/>
    <w:pPr>
      <w:spacing w:before="200" w:after="0"/>
      <w:ind w:left="360" w:right="360"/>
    </w:pPr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06C"/>
    <w:pPr>
      <w:pBdr>
        <w:bottom w:val="single" w:sz="4" w:space="1" w:color="000000"/>
      </w:pBdr>
      <w:spacing w:before="200" w:after="280"/>
      <w:ind w:left="1008" w:right="1152"/>
    </w:pPr>
    <w:rPr>
      <w:b/>
      <w:bCs/>
      <w:i/>
      <w:iCs/>
    </w:rPr>
  </w:style>
  <w:style w:type="paragraph" w:styleId="NormalnyWeb">
    <w:name w:val="Normal (Web)"/>
    <w:basedOn w:val="Normalny"/>
    <w:uiPriority w:val="99"/>
    <w:unhideWhenUsed/>
    <w:qFormat/>
    <w:rsid w:val="00D914E3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or">
    <w:name w:val="Punktor"/>
    <w:basedOn w:val="Akapitzlist"/>
    <w:link w:val="PunktorZnak"/>
    <w:qFormat/>
    <w:rsid w:val="00D9699C"/>
    <w:pPr>
      <w:numPr>
        <w:numId w:val="2"/>
      </w:numPr>
      <w:spacing w:after="120" w:line="320" w:lineRule="exact"/>
    </w:pPr>
  </w:style>
  <w:style w:type="paragraph" w:customStyle="1" w:styleId="Literowanie">
    <w:name w:val="Literowanie"/>
    <w:basedOn w:val="Akapitzlist"/>
    <w:link w:val="LiterowanieZnak"/>
    <w:qFormat/>
    <w:rsid w:val="00E770B0"/>
    <w:pPr>
      <w:spacing w:after="120" w:line="320" w:lineRule="exact"/>
      <w:ind w:left="0"/>
    </w:pPr>
  </w:style>
  <w:style w:type="paragraph" w:customStyle="1" w:styleId="Litery">
    <w:name w:val="Litery"/>
    <w:basedOn w:val="Literowanie"/>
    <w:link w:val="LiteryZnak"/>
    <w:autoRedefine/>
    <w:qFormat/>
    <w:rsid w:val="005B3E3B"/>
    <w:pPr>
      <w:numPr>
        <w:numId w:val="3"/>
      </w:numPr>
    </w:pPr>
  </w:style>
  <w:style w:type="paragraph" w:customStyle="1" w:styleId="Przedpunktorem">
    <w:name w:val="Przed punktorem"/>
    <w:basedOn w:val="Normalny"/>
    <w:link w:val="PrzedpunktoremZnak"/>
    <w:qFormat/>
    <w:rsid w:val="00114F3E"/>
    <w:pPr>
      <w:spacing w:after="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40BB"/>
    <w:pPr>
      <w:spacing w:after="0" w:line="240" w:lineRule="auto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87CB6"/>
    <w:pPr>
      <w:spacing w:line="240" w:lineRule="auto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87CB6"/>
    <w:rPr>
      <w:b/>
      <w:bCs/>
    </w:rPr>
  </w:style>
  <w:style w:type="paragraph" w:styleId="Spistreci4">
    <w:name w:val="toc 4"/>
    <w:basedOn w:val="Normalny"/>
    <w:next w:val="Normalny"/>
    <w:autoRedefine/>
    <w:uiPriority w:val="39"/>
    <w:unhideWhenUsed/>
    <w:rsid w:val="00BE5823"/>
    <w:pPr>
      <w:spacing w:after="0"/>
      <w:ind w:left="660"/>
      <w:jc w:val="left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E5823"/>
    <w:pPr>
      <w:spacing w:after="0"/>
      <w:ind w:left="1100"/>
      <w:jc w:val="left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E5823"/>
    <w:pPr>
      <w:spacing w:after="0"/>
      <w:ind w:left="1320"/>
      <w:jc w:val="left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E5823"/>
    <w:pPr>
      <w:spacing w:after="0"/>
      <w:ind w:left="1540"/>
      <w:jc w:val="left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E5823"/>
    <w:pPr>
      <w:spacing w:after="0"/>
      <w:ind w:left="1760"/>
      <w:jc w:val="left"/>
    </w:pPr>
    <w:rPr>
      <w:rFonts w:cstheme="minorHAnsi"/>
      <w:sz w:val="18"/>
      <w:szCs w:val="18"/>
    </w:rPr>
  </w:style>
  <w:style w:type="paragraph" w:customStyle="1" w:styleId="Standard">
    <w:name w:val="Standard"/>
    <w:qFormat/>
    <w:rsid w:val="00AE3D9F"/>
    <w:pPr>
      <w:spacing w:after="200" w:line="276" w:lineRule="auto"/>
      <w:textAlignment w:val="baseline"/>
    </w:pPr>
    <w:rPr>
      <w:rFonts w:ascii="Calibri" w:eastAsia="SimSun" w:hAnsi="Calibri" w:cs="F"/>
      <w:kern w:val="2"/>
    </w:rPr>
  </w:style>
  <w:style w:type="paragraph" w:customStyle="1" w:styleId="v1msonormal">
    <w:name w:val="v1msonormal"/>
    <w:basedOn w:val="Normalny"/>
    <w:qFormat/>
    <w:rsid w:val="0067543F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qFormat/>
    <w:rsid w:val="0067543F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E93FFB"/>
    <w:rPr>
      <w:rFonts w:ascii="Calibri" w:hAnsi="Calibri"/>
      <w:sz w:val="20"/>
    </w:rPr>
  </w:style>
  <w:style w:type="paragraph" w:customStyle="1" w:styleId="xmsonormal">
    <w:name w:val="x_msonormal"/>
    <w:basedOn w:val="Normalny"/>
    <w:qFormat/>
    <w:rsid w:val="003C1DF3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7394424062msonormal">
    <w:name w:val="yiv7394424062msonormal"/>
    <w:basedOn w:val="Normalny"/>
    <w:qFormat/>
    <w:rsid w:val="00E11641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customStyle="1" w:styleId="pf0">
    <w:name w:val="pf0"/>
    <w:basedOn w:val="Normalny"/>
    <w:qFormat/>
    <w:rsid w:val="000E2AEF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qFormat/>
    <w:rsid w:val="009317AA"/>
  </w:style>
  <w:style w:type="numbering" w:customStyle="1" w:styleId="Styl2">
    <w:name w:val="Styl2"/>
    <w:uiPriority w:val="99"/>
    <w:qFormat/>
    <w:rsid w:val="00705ECA"/>
  </w:style>
  <w:style w:type="numbering" w:customStyle="1" w:styleId="Styl3">
    <w:name w:val="Styl3"/>
    <w:uiPriority w:val="99"/>
    <w:qFormat/>
    <w:rsid w:val="00AE60F6"/>
  </w:style>
  <w:style w:type="table" w:styleId="Jasnasiatka">
    <w:name w:val="Light Grid"/>
    <w:basedOn w:val="Standardowy"/>
    <w:uiPriority w:val="62"/>
    <w:rsid w:val="002E54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redniecieniowanie1">
    <w:name w:val="Medium Shading 1"/>
    <w:basedOn w:val="Standardowy"/>
    <w:uiPriority w:val="63"/>
    <w:rsid w:val="002E54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2E54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2E543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39"/>
    <w:rsid w:val="002E5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E1542A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8CEFD-CE42-46FB-8AFC-42D9159EE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F066C-67C4-4528-AD85-10D730C06A3C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E000BBC8-90E8-4BFD-AB62-32EE2D9C11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5DA8C-29B5-4D92-BD0E-B08A45390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1224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Tarkon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Kołodziej</dc:creator>
  <dc:description/>
  <cp:lastModifiedBy>ms</cp:lastModifiedBy>
  <cp:revision>61</cp:revision>
  <cp:lastPrinted>2025-01-28T15:18:00Z</cp:lastPrinted>
  <dcterms:created xsi:type="dcterms:W3CDTF">2025-02-01T16:09:00Z</dcterms:created>
  <dcterms:modified xsi:type="dcterms:W3CDTF">2026-03-04T20:04:00Z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