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Default Extension="fntdata" ContentType="application/x-fontdata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media/image1.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header3.xml.rels" ContentType="application/vnd.openxmlformats-package.relationship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_rels/header2.xml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center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ZAPYTANIE OFERTOWE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ZAMAWIAJĄCY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Endocrine Protect Sp. z o.o., ul. Aleje Racławickie 28A lok. U7, 20-043 Lublin, NIP 7123475974, REGON: 528742796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Zapytanie jest realizowane w ramach projektu: „Opracowanie aplikacji mobilnej, wraz z autorską bazą wiedzy, do skanowania produktów i wykrywania w składzie szkodliwych związków EDC”, współfinansowanego ze środków Unii Europejskiej w ramach Programu Fundusze Europejskie dla Polski Wschodniej 2021-2027, Priorytet Przedsiębiorczość i Innowacje, Działanie Platformy startowe dla nowych pomysłów - Komponent II a – Wsparcie rozwoju działalności gospodarczej startupu. Numer umowy o dofinansowanie projektu nr FEPW.01.01-IP.01-0183/25.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PRZEDMIOT ZAMÓWIENIA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Przedmiotem zamówienia jest przeprowadzenie kampanii reklamowej w kanałach cyfrowych dla nowej aplikacji, która będzie dostępna w sklepach Google play i App-store. Szczegółowo przedmiot zamówienia, w tym terminy wykonania zamówienia, zasady płatności, opisane zostały w załączniku do ogłoszenia, który stanowić będzie załącznik nr 1 do umowy w sprawie niniejszego zamówienia. 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Kod CPV: 79341400-0 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WYMAGANIA/WARUNKI UDZIAŁU W POSTĘPOWANIU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Typ wymagania: Wiedza i doświadczenie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Opis wymagania: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postępowaniu mogą wziąć udział wyłącznie wykonawcy, którzy przeprowadzili w okresie ostatnich 3 lat przed terminem składania ofert co najmniej: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2"/>
        </w:numPr>
        <w:pBdr/>
        <w:shd w:val="clear" w:fill="auto"/>
        <w:spacing w:lineRule="auto" w:line="240" w:before="0" w:after="0"/>
        <w:ind w:hanging="393" w:start="393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trzy kampanie reklamowe w MetaAds lub Google-Ads o wartości minimum 40000 zł każda;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2"/>
        </w:numPr>
        <w:pBdr/>
        <w:shd w:val="clear" w:fill="auto"/>
        <w:spacing w:lineRule="auto" w:line="240" w:before="0" w:after="0"/>
        <w:ind w:hanging="393" w:start="393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dwie kampanie reklamowe dla branży zdrowia lub medycyny lub wellness lub dla aplikacji mobilnych.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Spełnienie warunku będzie oceniane na podstawie wypełnionego oświadczenia zawartego w formularzu ofertowym. Zamawiający zastrzega sobie prawo do weryfikacji prawdziwości ww. oświadczenia poprzez żądanie dokumentów potwierdzających spełnianie wymagań udziału w postępowaniu, na każdym etapie postępowania.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Typ wymagania: Osoby zdolne do wykonania zamówienia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Opis wymagania: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postępowaniu mogą wziąć udział wyłącznie wykonawcy, którzy dysponują co najmniej: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9"/>
        </w:numPr>
        <w:pBdr/>
        <w:shd w:val="clear" w:fill="auto"/>
        <w:spacing w:lineRule="auto" w:line="240" w:before="0" w:after="0"/>
        <w:ind w:hanging="393" w:start="393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jedną osobą wyznaczoną do realizacji zamówienia posiadającą 3-letnie doświadczenie w zakresie tworzenia i realizacji strategii kampanii w Google Ads;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9"/>
        </w:numPr>
        <w:pBdr/>
        <w:shd w:val="clear" w:fill="auto"/>
        <w:spacing w:lineRule="auto" w:line="240" w:before="0" w:after="0"/>
        <w:ind w:hanging="393" w:start="393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jedną osobą wyznaczoną do realizacji zamówienia posiadającą 3-letnie doświadczenie na stanowisku Paid social/ Performance Marketing (Facebook, Instagram, TikTok) obejmującym budowaniem strategii, wdrożenie, optymalizację i analizę działań. 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Spełnienie warunku będzie oceniane na podstawie wypełnionego oświadczenia zawartego w formularzu ofertowym. Zamawiający zastrzega sobie prawo do weryfikacji prawdziwości ww. oświadczenia poprzez żądanie dokumentów potwierdzających spełnianie wymagań udziału w postępowaniu, na każdym etapie postępowania.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Typ wymagania: Lista dokumentów/oświadczeń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Opis wymagania: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ubiegający się o zamówienie zobowiązany jest złożyć formularz ofertowy, którego wzór stanowi załącznik do ogłoszenia; formularz winien zawierać w szczególności:</w:t>
      </w:r>
    </w:p>
    <w:p>
      <w:pPr>
        <w:pStyle w:val="normal1"/>
        <w:keepNext w:val="false"/>
        <w:keepLines w:val="false"/>
        <w:pageBreakBefore w:val="false"/>
        <w:widowControl/>
        <w:numPr>
          <w:ilvl w:val="1"/>
          <w:numId w:val="9"/>
        </w:numPr>
        <w:pBdr/>
        <w:shd w:val="clear" w:fill="auto"/>
        <w:spacing w:lineRule="auto" w:line="240" w:before="0" w:after="0"/>
        <w:ind w:hanging="309" w:start="706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cenę netto i brutto za wykonanie całego przedmiotu zamówienia;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1"/>
          <w:numId w:val="9"/>
        </w:numPr>
        <w:pBdr/>
        <w:shd w:val="clear" w:fill="auto"/>
        <w:spacing w:lineRule="auto" w:line="240" w:before="0" w:after="0"/>
        <w:ind w:hanging="309" w:start="706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wykaz przeprowadzonych kampanii reklamowych;</w:t>
      </w:r>
    </w:p>
    <w:p>
      <w:pPr>
        <w:pStyle w:val="normal1"/>
        <w:keepNext w:val="false"/>
        <w:keepLines w:val="false"/>
        <w:pageBreakBefore w:val="false"/>
        <w:widowControl/>
        <w:numPr>
          <w:ilvl w:val="1"/>
          <w:numId w:val="9"/>
        </w:numPr>
        <w:pBdr/>
        <w:shd w:val="clear" w:fill="auto"/>
        <w:spacing w:lineRule="auto" w:line="240" w:before="0" w:after="0"/>
        <w:ind w:hanging="309" w:start="706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wykaz osób skierowanych do realizacji zamówienia;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1"/>
          <w:numId w:val="9"/>
        </w:numPr>
        <w:pBdr/>
        <w:shd w:val="clear" w:fill="auto"/>
        <w:spacing w:lineRule="auto" w:line="240" w:before="0" w:after="0"/>
        <w:ind w:hanging="309" w:start="706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oświadczenie wykonawcy o braku powiązań z zamawiającym;</w:t>
      </w:r>
    </w:p>
    <w:p>
      <w:pPr>
        <w:pStyle w:val="normal1"/>
        <w:keepNext w:val="false"/>
        <w:keepLines w:val="false"/>
        <w:pageBreakBefore w:val="false"/>
        <w:widowControl/>
        <w:numPr>
          <w:ilvl w:val="1"/>
          <w:numId w:val="9"/>
        </w:numPr>
        <w:pBdr/>
        <w:shd w:val="clear" w:fill="auto"/>
        <w:spacing w:lineRule="auto" w:line="240" w:before="0" w:after="0"/>
        <w:ind w:hanging="309" w:start="706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oświadczenie wykonawcy dotyczące spełniania warunków udziału w postępowaniu oraz niepodleganiu wykluczeniu z postępowania.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Typ wymagania: Dodatkowe warunki udziału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Opis wymagania: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postępowaniu mogą brać udział wykonawcy, którzy: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0"/>
        </w:numPr>
        <w:pBdr/>
        <w:shd w:val="clear" w:fill="auto"/>
        <w:spacing w:lineRule="auto" w:line="240" w:before="0" w:after="0"/>
        <w:ind w:hanging="397" w:start="397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nie podlegają wykluczeniu z postępowania na podstawie przepisów ustawy z dnia 13 kwietnia 2022 r. o szczególnych rozwiązaniach w zakresie przeciwdziałania wspieraniu agresji na Ukrainę oraz służących ochronie bezpieczeństwa narodowego;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0"/>
        </w:numPr>
        <w:pBdr/>
        <w:shd w:val="clear" w:fill="auto"/>
        <w:spacing w:lineRule="auto" w:line="240" w:before="0" w:after="0"/>
        <w:ind w:hanging="397" w:start="397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nie są powiązani osobowo lub kapitałowo z zamawiającym lub z osobami biorącymi udział w przygotowaniu lub prowadzeniu postępowania o udzielenie zamówienia lub mogącymi wpłynąć na wynik tego postępowania, w szczególności polegającymi na: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1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1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1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pozostawaniu z wykonawcą w takim stosunku prawnym lub faktycznym, że istnieje uzasadniona wątpliwość co do ich bezstronności lub niezależności w związku z postępowaniem o udzielenie zamówienia.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Spełnienie warunku będzie oceniane na podstawie oświadczenia wykonawcy zawartego w formularzu ofertowym. Zamawiający zastrzega sobie prawo do weryfikacji prawdziwości ww. oświadczenia poprzez żądanie dokumentów potwierdzających spełnianie wymagań udziału w postępowaniu, na każdym etapie postępowania.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KRYTERIA OCENY OFERT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Cena: waga 80%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Doświadczenie osób wyznaczonych do realizacji zamówienia: waga 20%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W kryterium ceny zamawiający będzie oceniał cenę </w:t>
      </w:r>
      <w:r>
        <w:rPr>
          <w:rFonts w:eastAsia="Calibri" w:cs="Calibri" w:ascii="Calibri" w:hAnsi="Calibri"/>
          <w:sz w:val="22"/>
          <w:szCs w:val="22"/>
        </w:rPr>
        <w:t xml:space="preserve">brutto </w:t>
      </w: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za wykonanie całego przedmiotu zamówienia. W cenie za wykonanie przedmiotu zamówienia Wykonawca zobowiązany jest uwzględnić wynagrodzenie Wykonawcy oraz budżet mediowy w wysokości 49240,05 zł netto. Budżet mediowy jest w całości przeznaczony na zakup mediów reklamowych (wynagrodzenia portali społecznościowych) i nie stanowi wynagrodzenia Wykonawcy. 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Maksymalną ilość punktów otrzyma wykonawca, który zaproponuje najniższą cenę, pozostali będą oceniani wg następującego wzoru: najniższa cena / cena badanej oferty × 80.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zobowiązany jest ująć w cenie wszystkie koszty, składniki i podatki niezbędne do wykonania zamówienia i przewidziane przepisami prawa.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zobowiązany jest ująć w cenie także wynagrodzenie za przeniesienie na Zamawiającego autorskich praw majątkowych do opracowanych w ramach zamówienia utworów.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zobowiązany jest podać cenę liczbowo w złotych polskich, z dokładnością do dwóch miejsc po przecinku.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kryterium doświadczenia osób wyznaczonych do realizacji zamówienia zamawiający będzie oceniał liczbę kampanii reklamowych realizowanych przez te osoby.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2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który wyznaczy do realizacji zamówienia osobę, która w okresie ostatnich 3 lat przed terminem składania ofert realizowała minimum: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3"/>
        </w:numPr>
        <w:pBdr/>
        <w:shd w:val="clear" w:fill="auto"/>
        <w:spacing w:lineRule="auto" w:line="240" w:before="0" w:after="0"/>
        <w:ind w:hanging="397" w:start="737" w:end="0"/>
        <w:jc w:val="both"/>
        <w:rPr>
          <w:sz w:val="22"/>
          <w:szCs w:val="22"/>
        </w:rPr>
      </w:pPr>
      <w:r>
        <w:rPr>
          <w:rFonts w:eastAsia="Calibri" w:cs="Calibri" w:ascii="Calibri" w:hAnsi="Calibri"/>
          <w:sz w:val="22"/>
          <w:szCs w:val="22"/>
        </w:rPr>
        <w:t>dwie</w:t>
      </w: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kampanie reklamowe w social mediach o wartości min. 40000 każda otrzyma 5 punktów;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3"/>
        </w:numPr>
        <w:pBdr/>
        <w:shd w:val="clear" w:fill="auto"/>
        <w:spacing w:lineRule="auto" w:line="240" w:before="0" w:after="0"/>
        <w:ind w:hanging="397" w:start="737" w:end="0"/>
        <w:jc w:val="both"/>
        <w:rPr>
          <w:sz w:val="22"/>
          <w:szCs w:val="22"/>
        </w:rPr>
      </w:pPr>
      <w:r>
        <w:rPr>
          <w:rFonts w:eastAsia="Calibri" w:cs="Calibri" w:ascii="Calibri" w:hAnsi="Calibri"/>
          <w:sz w:val="22"/>
          <w:szCs w:val="22"/>
        </w:rPr>
        <w:t>cztery</w:t>
      </w: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kampanie reklamowe w social mediach o wartości min. 40000 każda otrzyma 10 punktów.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7"/>
        </w:numPr>
        <w:pBdr/>
        <w:shd w:val="clear" w:fill="auto"/>
        <w:spacing w:lineRule="auto" w:line="240" w:before="0" w:after="0"/>
        <w:ind w:hanging="371" w:start="371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który wyznaczy do realizacji zamówienia osobę, która w okresie ostatnich 3 lat przed terminem składania ofert realizowała minimum: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40" w:before="0" w:after="0"/>
        <w:ind w:hanging="397" w:start="737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dwie kampanie reklamowe </w:t>
      </w:r>
      <w:bookmarkStart w:id="0" w:name="bookmark=id.ahfsr5eho9zx"/>
      <w:bookmarkEnd w:id="0"/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dla branży zdrowia / medycyny / wellness lub dla aplikacji mobilnych otrzyma 5 punktów;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"/>
        </w:numPr>
        <w:pBdr/>
        <w:shd w:val="clear" w:fill="auto"/>
        <w:spacing w:lineRule="auto" w:line="240" w:before="0" w:after="0"/>
        <w:ind w:hanging="397" w:start="737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cztery kampanie reklamowe </w:t>
      </w:r>
      <w:bookmarkStart w:id="1" w:name="bookmark=id.46jhmb4jao5c"/>
      <w:bookmarkEnd w:id="1"/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dla branży zdrowia / medycyny / wellness lub dla aplikacji mobilnych otrzyma 10 punktów.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POZOSTAŁE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Zamówienia uzupełniające: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Zamawiający przewiduje możliwość udzielenia wykonawcy wybranemu w niniejszym postępowaniu, zamówienia polegającego na powtórzeniu podobnych usług, zgodnych z przedmiotem niniejszego zamówienia, o wartości nie przekraczającej 50% wartości niniejszego zamówienia.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Warunki zmiany umowy: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Zamawiający przewiduje możliwość zmian postanowień zawartej umowy w stosunku do treści oferty, na podstawie której dokonano wyboru wykonawcy, w przypadku wystąpienia co najmniej jednej z okoliczności wymienionych poniżej, z uwzględnieniem warunków ich wprowadzenia: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zmiana terminu realizacji przedmiotu umowy, w przypadku: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3"/>
        </w:numPr>
        <w:pBdr/>
        <w:shd w:val="clear" w:fill="auto"/>
        <w:spacing w:lineRule="auto" w:line="240" w:before="0" w:after="0"/>
        <w:ind w:hanging="360" w:start="108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zmiany terminów realizacji projektu, tj. wydłużenie terminów realizacji umowy odpowiednio do wydłużonego terminu realizacji poszczególnych zadań lub całego projektu;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3"/>
        </w:numPr>
        <w:pBdr/>
        <w:shd w:val="clear" w:fill="auto"/>
        <w:spacing w:lineRule="auto" w:line="240" w:before="0" w:after="0"/>
        <w:ind w:hanging="360" w:start="108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działania siły wyższej w zakresie mającym wpływ na realizację umowy,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3"/>
        </w:numPr>
        <w:pBdr/>
        <w:shd w:val="clear" w:fill="auto"/>
        <w:spacing w:lineRule="auto" w:line="240" w:before="0" w:after="0"/>
        <w:ind w:hanging="360" w:start="108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opóźnień spowodowanych przez zamawiającego, o okres tego opóźnienia;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3"/>
        </w:numPr>
        <w:pBdr/>
        <w:shd w:val="clear" w:fill="auto"/>
        <w:spacing w:lineRule="auto" w:line="240" w:before="0" w:after="0"/>
        <w:ind w:hanging="360" w:start="108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zmian obowiązujących przepisów prawa wpływających na termin i sposób wykonania przedmiotu umowy, wchodzących w życie po dniu zawarcia umowy;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3"/>
        </w:numPr>
        <w:pBdr/>
        <w:shd w:val="clear" w:fill="auto"/>
        <w:spacing w:lineRule="auto" w:line="240" w:before="0" w:after="0"/>
        <w:ind w:hanging="360" w:start="108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innych niemożliwych do przewidzenia okoliczności, mających wpływ na termin realizacji umowy, o których strony nie wiedziały w momencie zawarcia umowy;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zmiana sposobu rozliczania umowy lub dokonywania płatności na rzecz wykonawcy – na skutek zmian zawartej przez zamawiającego umowy o dofinansowanie projektu lub zmian wytycznych dotyczących realizacji projektu;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wystąpienia siły wyższej – jako „siły wyższe” uznaje się klęski żywiołowe, huragan, powódź, katastrofy transportowe, pożar, eksplozje, wojna i inne nadzwyczajne wydarzenia, których zaistnienie leży poza zasięgiem i kontrolą stron umowy, tj. zdarzeń zewnętrznych, niemożliwych lub prawie niemożliwych do przewidzenia, których skutkom nie można zapobiec;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otrzymania stanowiska instytucji zarządzającej projektem, dotyczącego zmiany zakresu zadań, kosztorysów, terminów realizacji czy też ustalającego dodatkowe postanowienia, do których zamawiający zostanie zobowiązany;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zmian regulacji prawnych w stosunku do stanu obowiązującego w dniu zawarcia umowy;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każdym przypadku, gdy zmiana jest korzystna dla zamawiającego;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8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obiektywnych przyczyn niezależnych od zamawiającego lub wykonawcy.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KLAUZULA INFORMACYJNA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Zgodnie z art. 13 ust. 1 i 2 rozporządzenia Parlamentu Europejskiego i Rady (UE) 2016/679 z dnia 27 kwietnia 2016 r. w sprawie ochrony osób fizycznych w związku z przetwarzaniem danych osobowych i w sprawie swobodnego przepływu takich danych oraz uchylenia dyrektywy 95/46/WE (ogólne rozporządzenie o ochronie danych) (Dz. Urz. UE L 119 z 04.05.2016, str. 1), dalej „RODO”, informuję, że: 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administratorem Pani/Pana danych osobowych jest Endocrine Protect Sp. z o.o., ul. Aleje Racławickie 28A lok. U7, 20-043 Lublin, NIP 7123475974, zwana dalej Administratorem; Administrator prowadzi operacje przetwarzania Pani/Pana danych osobowych.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 inspektorem danych osobowych można się skontaktować pod e-mail: info@endocrineprotect.com; 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Pani/Pana dane osobowe przetwarzane będą na podstawie art. 6 ust. 1 lit. c RODO, w celu związanym z postępowaniem w ramach realizacji projektu, prowadzonym zgodnie z zasadą konkurencyjności. 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podanie danych jest niezbędne do zawarcia umowy, w przypadku niepodania danych niemożliwe jest zawarcie umowy.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posiada Pani/Pan prawo do żądania od Administratora dostępu do swoich danych osobowych, ich sprostowania, ograniczenia przetwarzania danych osobowych oraz wniesienia skargi do organu nadzorczego.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Pani/Pana dane osobowe podlegają zautomatyzowanemu podejmowaniu decyzji, w tym profilowaniu.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4"/>
        </w:numPr>
        <w:pBdr/>
        <w:shd w:val="clear" w:fill="auto"/>
        <w:spacing w:lineRule="auto" w:line="240" w:before="0" w:after="0"/>
        <w:ind w:hanging="360" w:start="72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Pani/Pana dane osobowe będą przechowywane przez Endocrine Protect Sp. z o.o., ul. Aleje Racławickie 28A lok. U7, 20-043 Lublin, NIP 7123475974.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Jednocześnie zobowiązuję Panią/Pana do przekazania ww. informacji osobom, których dane Pani/Pan podała/podał.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INFORMACJE DODATKOWE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pBdr/>
        <w:shd w:val="clear" w:fill="auto"/>
        <w:spacing w:lineRule="auto" w:line="24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Termin składania ofert: d</w:t>
      </w: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 dnia 07.04.2026 r.</w:t>
      </w:r>
    </w:p>
    <w:p>
      <w:pPr>
        <w:pStyle w:val="normal1"/>
        <w:keepNext w:val="false"/>
        <w:keepLines w:val="false"/>
        <w:pageBreakBefore w:val="false"/>
        <w:pBdr/>
        <w:shd w:val="clear" w:fill="auto"/>
        <w:spacing w:lineRule="auto" w:line="24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Oferty należy składać za poś</w:t>
      </w: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rednictwem bazy konkurencyjności.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Wykonawca może zmienić lub wycofać ofertę pod warunkiem, że zrobi to przed terminem składania ofert.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bookmarkStart w:id="2" w:name="_heading=h.uktr03japt0s"/>
      <w:bookmarkEnd w:id="2"/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Zamawiający odrzuci ofertę: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która zostanie złożona po terminie, o którym mowa powyżej;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jeżeli jej treść nie będzie odpowiadała treści niniejszego zapytania;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gdy wykonawca nie przedłoży w wyznaczonym terminie odpowiednich dokumentów;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gdy wykonawca nie złoży w wyznaczonym terminie uzupełnień oraz wyjaśnień dotyczących oferty;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jeżeli jej złożenie będzie stanowiło czyn bezprawny;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5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która zostanie złożona przez wykonawcę niespełniającego warunków udziału w niniejszym postępowaniu lub podlegającego wykluczeniu z postępowania.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Pozostałe informacje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Komunikacja w niniejszym postępowaniu do upływu terminu składania ofert odbywa się za pomocą bazy konkurencyjności. W przypadku, gdy komunikacja za pomocą bazy konkurencyjności nie będzie możliwa, zamawiający przewiduje komunikację drogą elektroniczną na adres: zamowienia@endocrineprotect.com.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Zamawiający zastrzega sobie prawo do: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wzywania wykonawcy do złożenia uzupełnień oraz wyjaśnień dotyczących ofert;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wzywania wykonawcy do przedłożenia dodatkowych dokumentów potwierdzających informacje zawarte w formularzu ofertowym;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poprawienia oczywistych lub nieistotnych omyłek w ofercie;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podjęcia negocjacji z wybranymi lub wybranym wykonawcą celem uzyskania możliwie korzystnych warunków zamówienia;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wyboru kolejnej najkorzystniejszej oferty, jeżeli wykonawca, którego oferta zostanie wybrana, uchyli się od zawarcia umowy w sprawie niniejszego zamówienia;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6"/>
        </w:numPr>
        <w:pBdr/>
        <w:shd w:val="clear" w:fill="auto"/>
        <w:spacing w:lineRule="auto" w:line="240" w:before="0" w:after="0"/>
        <w:ind w:hanging="360" w:start="36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odwołania niniejszego zapytania bez podania powodu.</w:t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Calibri" w:hAnsi="Calibri" w:eastAsia="Calibri" w:cs="Calibri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40" w:before="0" w:after="0"/>
        <w:ind w:hanging="0" w:start="0" w:end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Calibri" w:cs="Calibri" w:ascii="Calibri" w:hAnsi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Niniejsze zapytanie nie stanowi czynności w postępowaniu prowadzonym na zasadach i w trybie określonym przepisami ustawy Prawo zamówień publicznych, ani nie stanowi zobowiązania do zawarcia umowy.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134" w:right="1134" w:gutter="0" w:header="709" w:top="1134" w:footer="709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 w:characterSet="windows-125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ee" w:characterSet="windows-125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ee" w:characterSet="windows-125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Liberation Sans">
    <w:altName w:val="Arial"/>
    <w:charset w:val="ee" w:characterSet="windows-1250"/>
    <w:family w:val="roman"/>
    <w:pitch w:val="variable"/>
  </w:font>
  <w:font w:name="Helvetica Neue">
    <w:charset w:val="ee" w:characterSet="windows-1250"/>
    <w:family w:val="roman"/>
    <w:pitch w:val="variable"/>
  </w:font>
  <w:font w:name="Georgia">
    <w:charset w:val="ee" w:characterSet="windows-1250"/>
    <w:family w:val="roman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Calibri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Calibri" w:hAnsi="Calibri" w:eastAsia="Calibri" w:cs="Calibri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pPr>
    <w:r>
      <w:rPr>
        <w:rFonts w:eastAsia="Calibri" w:cs="Calibri" w:ascii="Calibri" w:hAnsi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r>
  </w:p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Times New Roman" w:hAnsi="Times New Roman" w:eastAsia="Times New Roman" w:cs="Times New Roman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 w:val="24"/>
        <w:szCs w:val="24"/>
        <w:u w:val="none"/>
        <w:shd w:fill="auto" w:val="clear"/>
        <w:vertAlign w:val="baseline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Calibri" w:hAnsi="Calibri" w:eastAsia="Calibri" w:cs="Calibri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pPr>
    <w:r>
      <w:rPr>
        <w:rFonts w:eastAsia="Calibri" w:cs="Calibri" w:ascii="Calibri" w:hAnsi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r>
  </w:p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Times New Roman" w:hAnsi="Times New Roman" w:eastAsia="Times New Roman" w:cs="Times New Roman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 w:val="24"/>
        <w:szCs w:val="24"/>
        <w:u w:val="none"/>
        <w:shd w:fill="auto" w:val="clear"/>
        <w:vertAlign w:val="baseline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Times New Roman" w:hAnsi="Times New Roman" w:eastAsia="Times New Roman" w:cs="Times New Roman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 w:val="24"/>
        <w:szCs w:val="24"/>
        <w:u w:val="none"/>
        <w:shd w:fill="auto" w:val="clear"/>
        <w:vertAlign w:val="baseline"/>
      </w:rPr>
    </w:pPr>
    <w:r>
      <w:rPr/>
      <w:drawing>
        <wp:inline distT="0" distB="0" distL="0" distR="0">
          <wp:extent cx="2657475" cy="551815"/>
          <wp:effectExtent l="0" t="0" r="0" b="0"/>
          <wp:docPr id="1" name="image1.jpg" descr="Obraz zawierający tekst, Czcionka, biały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 descr="Obraz zawierający tekst, Czcionka, biały, zrzut ekranu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657475" cy="551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start="0" w:end="0"/>
      <w:jc w:val="center"/>
      <w:rPr>
        <w:rFonts w:ascii="Times New Roman" w:hAnsi="Times New Roman" w:eastAsia="Times New Roman" w:cs="Times New Roman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4"/>
        <w:sz w:val="24"/>
        <w:szCs w:val="24"/>
        <w:u w:val="none"/>
        <w:shd w:fill="auto" w:val="clear"/>
        <w:vertAlign w:val="baseline"/>
      </w:rPr>
    </w:pPr>
    <w:r>
      <w:rPr/>
      <w:drawing>
        <wp:inline distT="0" distB="0" distL="0" distR="0">
          <wp:extent cx="2657475" cy="551815"/>
          <wp:effectExtent l="0" t="0" r="0" b="0"/>
          <wp:docPr id="2" name="image1.jpg" descr="Obraz zawierający tekst, Czcionka, biały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g" descr="Obraz zawierający tekst, Czcionka, biały, zrzut ekranu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657475" cy="551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)"/>
      <w:lvlJc w:val="start"/>
      <w:pPr>
        <w:tabs>
          <w:tab w:val="num" w:pos="0"/>
        </w:tabs>
        <w:ind w:start="73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decimal"/>
      <w:lvlText w:val="%2."/>
      <w:lvlJc w:val="start"/>
      <w:pPr>
        <w:tabs>
          <w:tab w:val="num" w:pos="0"/>
        </w:tabs>
        <w:ind w:start="10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decimal"/>
      <w:lvlText w:val="%3."/>
      <w:lvlJc w:val="start"/>
      <w:pPr>
        <w:tabs>
          <w:tab w:val="num" w:pos="0"/>
        </w:tabs>
        <w:ind w:start="14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18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decimal"/>
      <w:lvlText w:val="%5."/>
      <w:lvlJc w:val="start"/>
      <w:pPr>
        <w:tabs>
          <w:tab w:val="num" w:pos="0"/>
        </w:tabs>
        <w:ind w:start="217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decimal"/>
      <w:lvlText w:val="%6."/>
      <w:lvlJc w:val="start"/>
      <w:pPr>
        <w:tabs>
          <w:tab w:val="num" w:pos="0"/>
        </w:tabs>
        <w:ind w:start="253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28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decimal"/>
      <w:lvlText w:val="%8."/>
      <w:lvlJc w:val="start"/>
      <w:pPr>
        <w:tabs>
          <w:tab w:val="num" w:pos="0"/>
        </w:tabs>
        <w:ind w:start="32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36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2">
    <w:lvl w:ilvl="0">
      <w:start w:val="1"/>
      <w:numFmt w:val="decimal"/>
      <w:lvlText w:val="%1)"/>
      <w:lvlJc w:val="start"/>
      <w:pPr>
        <w:tabs>
          <w:tab w:val="num" w:pos="0"/>
        </w:tabs>
        <w:ind w:start="39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)"/>
      <w:lvlJc w:val="start"/>
      <w:pPr>
        <w:tabs>
          <w:tab w:val="num" w:pos="0"/>
        </w:tabs>
        <w:ind w:start="759" w:hanging="36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473" w:hanging="288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199" w:hanging="36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2919" w:hanging="36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3633" w:hanging="288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359" w:hanging="36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079" w:hanging="36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5793" w:hanging="288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3">
    <w:lvl w:ilvl="0">
      <w:start w:val="1"/>
      <w:numFmt w:val="lowerLetter"/>
      <w:lvlText w:val="%1)"/>
      <w:lvlJc w:val="start"/>
      <w:pPr>
        <w:tabs>
          <w:tab w:val="num" w:pos="0"/>
        </w:tabs>
        <w:ind w:start="10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8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5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32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9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68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4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1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84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4">
    <w:lvl w:ilvl="0">
      <w:start w:val="1"/>
      <w:numFmt w:val="decimal"/>
      <w:lvlText w:val="%1)"/>
      <w:lvlJc w:val="start"/>
      <w:pPr>
        <w:tabs>
          <w:tab w:val="num" w:pos="0"/>
        </w:tabs>
        <w:ind w:start="7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1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3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48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5">
    <w:lvl w:ilvl="0">
      <w:start w:val="1"/>
      <w:numFmt w:val="decimal"/>
      <w:lvlText w:val="%1)"/>
      <w:lvlJc w:val="start"/>
      <w:pPr>
        <w:tabs>
          <w:tab w:val="num" w:pos="0"/>
        </w:tabs>
        <w:ind w:start="3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0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80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5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2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39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6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4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1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6">
    <w:lvl w:ilvl="0">
      <w:start w:val="1"/>
      <w:numFmt w:val="decimal"/>
      <w:lvlText w:val="%1)"/>
      <w:lvlJc w:val="start"/>
      <w:pPr>
        <w:tabs>
          <w:tab w:val="num" w:pos="0"/>
        </w:tabs>
        <w:ind w:start="3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0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80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5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2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39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6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4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1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7">
    <w:lvl w:ilvl="0">
      <w:start w:val="8"/>
      <w:numFmt w:val="decimal"/>
      <w:lvlText w:val="%1."/>
      <w:lvlJc w:val="start"/>
      <w:pPr>
        <w:tabs>
          <w:tab w:val="num" w:pos="0"/>
        </w:tabs>
        <w:ind w:start="371" w:hanging="371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decimal"/>
      <w:lvlText w:val="%2."/>
      <w:lvlJc w:val="start"/>
      <w:pPr>
        <w:tabs>
          <w:tab w:val="num" w:pos="0"/>
        </w:tabs>
        <w:ind w:start="111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decimal"/>
      <w:lvlText w:val="%3."/>
      <w:lvlJc w:val="start"/>
      <w:pPr>
        <w:tabs>
          <w:tab w:val="num" w:pos="0"/>
        </w:tabs>
        <w:ind w:start="147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183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decimal"/>
      <w:lvlText w:val="%5."/>
      <w:lvlJc w:val="start"/>
      <w:pPr>
        <w:tabs>
          <w:tab w:val="num" w:pos="0"/>
        </w:tabs>
        <w:ind w:start="219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decimal"/>
      <w:lvlText w:val="%6."/>
      <w:lvlJc w:val="start"/>
      <w:pPr>
        <w:tabs>
          <w:tab w:val="num" w:pos="0"/>
        </w:tabs>
        <w:ind w:start="255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291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decimal"/>
      <w:lvlText w:val="%8."/>
      <w:lvlJc w:val="start"/>
      <w:pPr>
        <w:tabs>
          <w:tab w:val="num" w:pos="0"/>
        </w:tabs>
        <w:ind w:start="327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363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8">
    <w:lvl w:ilvl="0">
      <w:start w:val="2"/>
      <w:numFmt w:val="decimal"/>
      <w:lvlText w:val="%1)"/>
      <w:lvlJc w:val="start"/>
      <w:pPr>
        <w:tabs>
          <w:tab w:val="num" w:pos="0"/>
        </w:tabs>
        <w:ind w:start="7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1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3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48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9">
    <w:lvl w:ilvl="0">
      <w:start w:val="1"/>
      <w:numFmt w:val="decimal"/>
      <w:lvlText w:val="%1)"/>
      <w:lvlJc w:val="start"/>
      <w:pPr>
        <w:tabs>
          <w:tab w:val="num" w:pos="0"/>
        </w:tabs>
        <w:ind w:start="39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)"/>
      <w:lvlJc w:val="start"/>
      <w:pPr>
        <w:tabs>
          <w:tab w:val="num" w:pos="0"/>
        </w:tabs>
        <w:ind w:start="706" w:hanging="30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420" w:hanging="235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146" w:hanging="30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2866" w:hanging="30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3580" w:hanging="235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306" w:hanging="30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026" w:hanging="30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5740" w:hanging="235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10">
    <w:lvl w:ilvl="0">
      <w:start w:val="1"/>
      <w:numFmt w:val="decimal"/>
      <w:lvlText w:val="%1)"/>
      <w:lvlJc w:val="start"/>
      <w:pPr>
        <w:tabs>
          <w:tab w:val="num" w:pos="0"/>
        </w:tabs>
        <w:ind w:start="3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decimal"/>
      <w:lvlText w:val="%2."/>
      <w:lvlJc w:val="start"/>
      <w:pPr>
        <w:tabs>
          <w:tab w:val="num" w:pos="0"/>
        </w:tabs>
        <w:ind w:start="7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decimal"/>
      <w:lvlText w:val="%3."/>
      <w:lvlJc w:val="start"/>
      <w:pPr>
        <w:tabs>
          <w:tab w:val="num" w:pos="0"/>
        </w:tabs>
        <w:ind w:start="11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147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decimal"/>
      <w:lvlText w:val="%5."/>
      <w:lvlJc w:val="start"/>
      <w:pPr>
        <w:tabs>
          <w:tab w:val="num" w:pos="0"/>
        </w:tabs>
        <w:ind w:start="183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decimal"/>
      <w:lvlText w:val="%6."/>
      <w:lvlJc w:val="start"/>
      <w:pPr>
        <w:tabs>
          <w:tab w:val="num" w:pos="0"/>
        </w:tabs>
        <w:ind w:start="21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25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decimal"/>
      <w:lvlText w:val="%8."/>
      <w:lvlJc w:val="start"/>
      <w:pPr>
        <w:tabs>
          <w:tab w:val="num" w:pos="0"/>
        </w:tabs>
        <w:ind w:start="29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327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11">
    <w:lvl w:ilvl="0">
      <w:start w:val="1"/>
      <w:numFmt w:val="lowerLetter"/>
      <w:lvlText w:val="%1)"/>
      <w:lvlJc w:val="start"/>
      <w:pPr>
        <w:tabs>
          <w:tab w:val="num" w:pos="0"/>
        </w:tabs>
        <w:ind w:start="7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1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3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48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12">
    <w:lvl w:ilvl="0">
      <w:start w:val="1"/>
      <w:numFmt w:val="decimal"/>
      <w:lvlText w:val="%1."/>
      <w:lvlJc w:val="start"/>
      <w:pPr>
        <w:tabs>
          <w:tab w:val="num" w:pos="0"/>
        </w:tabs>
        <w:ind w:start="371" w:hanging="371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decimal"/>
      <w:lvlText w:val="%2."/>
      <w:lvlJc w:val="start"/>
      <w:pPr>
        <w:tabs>
          <w:tab w:val="num" w:pos="0"/>
        </w:tabs>
        <w:ind w:start="111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decimal"/>
      <w:lvlText w:val="%3."/>
      <w:lvlJc w:val="start"/>
      <w:pPr>
        <w:tabs>
          <w:tab w:val="num" w:pos="0"/>
        </w:tabs>
        <w:ind w:start="147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183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decimal"/>
      <w:lvlText w:val="%5."/>
      <w:lvlJc w:val="start"/>
      <w:pPr>
        <w:tabs>
          <w:tab w:val="num" w:pos="0"/>
        </w:tabs>
        <w:ind w:start="219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decimal"/>
      <w:lvlText w:val="%6."/>
      <w:lvlJc w:val="start"/>
      <w:pPr>
        <w:tabs>
          <w:tab w:val="num" w:pos="0"/>
        </w:tabs>
        <w:ind w:start="255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291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decimal"/>
      <w:lvlText w:val="%8."/>
      <w:lvlJc w:val="start"/>
      <w:pPr>
        <w:tabs>
          <w:tab w:val="num" w:pos="0"/>
        </w:tabs>
        <w:ind w:start="327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3633" w:hanging="39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13">
    <w:lvl w:ilvl="0">
      <w:start w:val="1"/>
      <w:numFmt w:val="decimal"/>
      <w:lvlText w:val="%1)"/>
      <w:lvlJc w:val="start"/>
      <w:pPr>
        <w:tabs>
          <w:tab w:val="num" w:pos="0"/>
        </w:tabs>
        <w:ind w:start="73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1">
      <w:start w:val="1"/>
      <w:numFmt w:val="decimal"/>
      <w:lvlText w:val="%2."/>
      <w:lvlJc w:val="start"/>
      <w:pPr>
        <w:tabs>
          <w:tab w:val="num" w:pos="0"/>
        </w:tabs>
        <w:ind w:start="10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2">
      <w:start w:val="1"/>
      <w:numFmt w:val="decimal"/>
      <w:lvlText w:val="%3."/>
      <w:lvlJc w:val="start"/>
      <w:pPr>
        <w:tabs>
          <w:tab w:val="num" w:pos="0"/>
        </w:tabs>
        <w:ind w:start="14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18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4">
      <w:start w:val="1"/>
      <w:numFmt w:val="decimal"/>
      <w:lvlText w:val="%5."/>
      <w:lvlJc w:val="start"/>
      <w:pPr>
        <w:tabs>
          <w:tab w:val="num" w:pos="0"/>
        </w:tabs>
        <w:ind w:start="217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5">
      <w:start w:val="1"/>
      <w:numFmt w:val="decimal"/>
      <w:lvlText w:val="%6."/>
      <w:lvlJc w:val="start"/>
      <w:pPr>
        <w:tabs>
          <w:tab w:val="num" w:pos="0"/>
        </w:tabs>
        <w:ind w:start="253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289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7">
      <w:start w:val="1"/>
      <w:numFmt w:val="decimal"/>
      <w:lvlText w:val="%8."/>
      <w:lvlJc w:val="start"/>
      <w:pPr>
        <w:tabs>
          <w:tab w:val="num" w:pos="0"/>
        </w:tabs>
        <w:ind w:start="325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3617" w:hanging="397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i w:val="false"/>
        <w:b w:val="false"/>
        <w:szCs w:val="20"/>
        <w:iCs w:val="false"/>
        <w:bCs w:val="false"/>
        <w:rFonts w:ascii="Calibri" w:hAnsi="Calibri" w:eastAsia="Calibri" w:cs="Calibri"/>
      </w:rPr>
    </w:lvl>
  </w:abstractNum>
  <w:abstractNum w:abstractNumId="14">
    <w:lvl w:ilvl="0">
      <w:start w:val="1"/>
      <w:numFmt w:val="decimal"/>
      <w:lvlText w:val="%1)"/>
      <w:lvlJc w:val="start"/>
      <w:pPr>
        <w:tabs>
          <w:tab w:val="num" w:pos="0"/>
        </w:tabs>
        <w:ind w:start="72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16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32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480" w:hanging="29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15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40" w:after="40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character" w:styleId="DefaultParagraphFont" w:default="1">
    <w:name w:val="Default Paragraph Font"/>
    <w:qFormat/>
    <w:rPr/>
  </w:style>
  <w:style w:type="character" w:styleId="Hyperlink">
    <w:name w:val="Hyperlink"/>
    <w:rPr>
      <w:u w:val="single" w:color="FFFFFF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1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1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normal1" w:default="1">
    <w:name w:val="normal1"/>
    <w:qFormat/>
    <w:pPr>
      <w:widowControl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l-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72"/>
      <w:szCs w:val="72"/>
    </w:rPr>
  </w:style>
  <w:style w:type="paragraph" w:styleId="Nagwekuser">
    <w:name w:val="Nagłówek (user)"/>
    <w:basedOn w:val="normal1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Indeksuser">
    <w:name w:val="Indeks (user)"/>
    <w:basedOn w:val="normal1"/>
    <w:qFormat/>
    <w:pPr>
      <w:suppressLineNumbers/>
    </w:pPr>
    <w:rPr>
      <w:rFonts w:cs="Arial"/>
    </w:rPr>
  </w:style>
  <w:style w:type="paragraph" w:styleId="normal11">
    <w:name w:val="normal11"/>
    <w:qFormat/>
    <w:pPr>
      <w:keepNext w:val="false"/>
      <w:keepLines w:val="false"/>
      <w:pageBreakBefore w:val="false"/>
      <w:widowControl/>
      <w:shd w:val="clear" w:color="auto" w:fill="auto"/>
      <w:suppressAutoHyphens w:val="true"/>
      <w:bidi w:val="0"/>
      <w:spacing w:lineRule="auto" w:line="240" w:beforeAutospacing="0" w:before="0" w:afterAutospacing="0" w:after="0"/>
      <w:ind w:hanging="0" w:start="0" w:end="0"/>
      <w:jc w:val="start"/>
    </w:pPr>
    <w:rPr>
      <w:rFonts w:ascii="Times New Roman" w:hAnsi="Times New Roman" w:eastAsia="Arial Unicode MS" w:cs="Arial Unicode MS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emboss w:val="false"/>
      <w:imprint w:val="false"/>
      <w:vanish w:val="false"/>
      <w:color w:val="000000"/>
      <w:spacing w:val="0"/>
      <w:w w:val="100"/>
      <w:kern w:val="0"/>
      <w:position w:val="0"/>
      <w:sz w:val="24"/>
      <w:sz w:val="24"/>
      <w:szCs w:val="24"/>
      <w:u w:val="none" w:color="000000"/>
      <w:shd w:fill="auto" w:val="clear"/>
      <w:vertAlign w:val="baseline"/>
      <w:lang w:val="pl-PL" w:eastAsia="zh-CN" w:bidi="hi-IN"/>
    </w:rPr>
  </w:style>
  <w:style w:type="paragraph" w:styleId="Domylne">
    <w:name w:val="Domyślne"/>
    <w:qFormat/>
    <w:pPr>
      <w:keepNext w:val="false"/>
      <w:keepLines w:val="false"/>
      <w:pageBreakBefore w:val="false"/>
      <w:widowControl/>
      <w:shd w:val="clear" w:color="auto" w:fill="auto"/>
      <w:suppressAutoHyphens w:val="false"/>
      <w:bidi w:val="0"/>
      <w:spacing w:lineRule="auto" w:line="288" w:beforeAutospacing="0" w:before="160" w:afterAutospacing="0" w:after="0"/>
      <w:ind w:hanging="0" w:start="0" w:end="0"/>
      <w:jc w:val="start"/>
    </w:pPr>
    <w:rPr>
      <w:rFonts w:ascii="Helvetica Neue" w:hAnsi="Helvetica Neue" w:eastAsia="Helvetica Neue" w:cs="Helvetica Neue"/>
      <w:b w:val="false"/>
      <w:bCs w:val="false"/>
      <w:i w:val="false"/>
      <w:iCs w:val="false"/>
      <w:caps w:val="false"/>
      <w:smallCaps w:val="false"/>
      <w:strike w:val="false"/>
      <w:dstrike w:val="false"/>
      <w:outline w:val="false"/>
      <w:emboss w:val="false"/>
      <w:imprint w:val="false"/>
      <w:vanish w:val="false"/>
      <w:color w:val="000000"/>
      <w:spacing w:val="0"/>
      <w:w w:val="100"/>
      <w:kern w:val="0"/>
      <w:position w:val="0"/>
      <w:sz w:val="24"/>
      <w:sz w:val="24"/>
      <w:szCs w:val="24"/>
      <w:u w:val="none" w:color="FFFFFF"/>
      <w:shd w:fill="auto" w:val="clear"/>
      <w:vertAlign w:val="baseline"/>
      <w:lang w:val="pl-PL" w:eastAsia="zh-CN" w:bidi="hi-IN"/>
      <w14:textOutline>
        <w14:noFill/>
      </w14:textOutline>
    </w:rPr>
  </w:style>
  <w:style w:type="paragraph" w:styleId="Gwkaistopkauser">
    <w:name w:val="Główka i stopka (user)"/>
    <w:basedOn w:val="normal1"/>
    <w:qFormat/>
    <w:pPr/>
    <w:rPr/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user"/>
    <w:pPr/>
    <w:rPr/>
  </w:style>
  <w:style w:type="paragraph" w:styleId="Footer">
    <w:name w:val="footer"/>
    <w:basedOn w:val="Gwkaistopkauser"/>
    <w:pPr/>
    <w:rPr/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numbering" w:styleId="Bezlistyuser" w:default="1">
    <w:name w:val="Bez listy (user)"/>
    <w:qFormat/>
  </w:style>
  <w:style w:type="numbering" w:styleId="Zaimportowanystyl1">
    <w:name w:val="Zaimportowany styl 1"/>
    <w:qFormat/>
  </w:style>
  <w:style w:type="numbering" w:styleId="Zaimportowanystyl2">
    <w:name w:val="Zaimportowany styl 2"/>
    <w:qFormat/>
  </w:style>
  <w:style w:type="numbering" w:styleId="Zaimportowanystyl3">
    <w:name w:val="Zaimportowany styl 3"/>
    <w:qFormat/>
  </w:style>
  <w:style w:type="numbering" w:styleId="Zaimportowanystyl4">
    <w:name w:val="Zaimportowany styl 4"/>
    <w:qFormat/>
  </w:style>
  <w:style w:type="numbering" w:styleId="Zaimportowanystyl5">
    <w:name w:val="Zaimportowany styl 5"/>
    <w:qFormat/>
  </w:style>
  <w:style w:type="numbering" w:styleId="Zaimportowanystyl6">
    <w:name w:val="Zaimportowany styl 6"/>
    <w:qFormat/>
  </w:style>
  <w:style w:type="numbering" w:styleId="Zaimportowanystyl7">
    <w:name w:val="Zaimportowany styl 7"/>
    <w:qFormat/>
  </w:style>
  <w:style w:type="numbering" w:styleId="Zaimportowanystyl8">
    <w:name w:val="Zaimportowany styl 8"/>
    <w:qFormat/>
  </w:style>
  <w:style w:type="numbering" w:styleId="Zaimportowanystyl9">
    <w:name w:val="Zaimportowany styl 9"/>
    <w:qFormat/>
  </w:style>
  <w:style w:type="numbering" w:styleId="Zaimportowanystyl10">
    <w:name w:val="Zaimportowany styl 10"/>
    <w:qFormat/>
  </w:style>
  <w:style w:type="numbering" w:styleId="Zaimportowanystyl11">
    <w:name w:val="Zaimportowany styl 11"/>
    <w:qFormat/>
  </w:style>
  <w:style w:type="numbering" w:styleId="Zaimportowanystyl12">
    <w:name w:val="Zaimportowany styl 12"/>
    <w:qFormat/>
  </w:style>
  <w:style w:type="numbering" w:styleId="Zaimportowanystyl13">
    <w:name w:val="Zaimportowany styl 13"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 Normal">
    <w:name w:val="Table Normal"/>
    <w:tblStylePr w:type="firstRow">
      <w:tblPr/>
    </w:tblStylePr>
    <w:tblStylePr w:type="lastRow">
      <w:tblPr/>
    </w:tblStylePr>
    <w:tblStylePr w:type="firstCol">
      <w:tblPr/>
    </w:tblStylePr>
    <w:tblStylePr w:type="lastCol">
      <w:tblPr/>
    </w:tblStylePr>
    <w:tblStylePr w:type="band1Vert">
      <w:tblPr/>
    </w:tblStylePr>
    <w:tblStylePr w:type="band2Vert">
      <w:tblPr/>
    </w:tblStylePr>
    <w:tblStylePr w:type="band1Horz">
      <w:tblPr/>
    </w:tblStylePr>
    <w:tblStylePr w:type="band2Horz">
      <w:tblPr/>
    </w:tblStylePr>
    <w:tblStylePr w:type="neCell">
      <w:tblPr/>
    </w:tblStylePr>
    <w:tblStylePr w:type="nwCell">
      <w:tblPr/>
    </w:tblStylePr>
    <w:tblStylePr w:type="seCell">
      <w:tblPr/>
    </w:tblStylePr>
    <w:tblStylePr w:type="swCell">
      <w:tblPr/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 pitchFamily="0" charset="1"/>
        <a:ea typeface="Helvetica Neue" pitchFamily="0" charset="1"/>
        <a:cs typeface="Helvetica Neue" pitchFamily="0" charset="1"/>
      </a:majorFont>
      <a:minorFont>
        <a:latin typeface="Helvetica Neue" pitchFamily="0" charset="1"/>
        <a:ea typeface="Helvetica Neue" pitchFamily="0" charset="1"/>
        <a:cs typeface="Helvetica Neue" pitchFamily="0" charset="1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g+gds1dda/m7YZhK5kGWBOYVAlg==">CgMxLjAyD2lkLmFoZnNyNWVobzl6eDIPaWQuNDZqaG1iNGphbzVjMg5oLnVrdHIwM2phcHQwczgAciExNks2Rzk3eXdUbmRYRzhOcTZuS1NCc3RjVTNjbHpxUk8=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LibreOffice/25.8.0.4$Windows_X86_64 LibreOffice_project/48f00303701489684e67c38c28aff00cd5929e67</Application>
  <AppVersion>15.0000</AppVersion>
  <Pages>4</Pages>
  <Words>1651</Words>
  <Characters>11159</Characters>
  <CharactersWithSpaces>12661</CharactersWithSpaces>
  <Paragraphs>104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/>
  <dcterms:modified xsi:type="dcterms:W3CDTF">2026-03-31T10:15:33Z</dcterms:modified>
  <cp:revision>2</cp:revision>
  <dc:subject/>
  <dc:title/>
</cp:coreProperties>
</file>