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0529D" w14:textId="6EDE2B31" w:rsidR="00837D50" w:rsidRPr="00967DE5" w:rsidRDefault="00000000">
      <w:pPr>
        <w:pStyle w:val="Standard"/>
        <w:jc w:val="center"/>
      </w:pPr>
      <w:r w:rsidRPr="00967DE5">
        <w:rPr>
          <w:rFonts w:ascii="Times New Roman" w:hAnsi="Times New Roman" w:cs="Times New Roman"/>
          <w:sz w:val="22"/>
          <w:szCs w:val="22"/>
        </w:rPr>
        <w:t>Załącznik nr 1</w:t>
      </w:r>
      <w:r w:rsidR="00967DE5" w:rsidRPr="00967DE5">
        <w:rPr>
          <w:rFonts w:ascii="Times New Roman" w:hAnsi="Times New Roman" w:cs="Times New Roman"/>
          <w:sz w:val="22"/>
          <w:szCs w:val="22"/>
          <w:shd w:val="clear" w:color="auto" w:fill="FFFF00"/>
        </w:rPr>
        <w:t>.5.</w:t>
      </w:r>
    </w:p>
    <w:p w14:paraId="66CE16B7" w14:textId="1CD859B8" w:rsidR="00837D50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967DE5">
        <w:rPr>
          <w:rFonts w:ascii="Times New Roman" w:hAnsi="Times New Roman" w:cs="Times New Roman"/>
          <w:sz w:val="22"/>
          <w:szCs w:val="22"/>
        </w:rPr>
        <w:t>Opis przedmiotu zamówienia dla części zajęcia specjalistyczne</w:t>
      </w:r>
      <w:r w:rsidR="00167A4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sensoplastyka</w:t>
      </w:r>
      <w:proofErr w:type="spellEnd"/>
    </w:p>
    <w:p w14:paraId="0B4A67D7" w14:textId="77777777" w:rsidR="00837D50" w:rsidRDefault="00837D50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837D50" w14:paraId="2A5D4E93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E5229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2CB6E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32150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1D88C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837D50" w14:paraId="3FA6223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1D77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43AE" w14:textId="77777777" w:rsidR="00837D50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Pędzle sensoryczne  </w:t>
            </w:r>
          </w:p>
          <w:p w14:paraId="7BE86829" w14:textId="77777777" w:rsidR="00837D50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dużymi</w:t>
            </w:r>
          </w:p>
          <w:p w14:paraId="1DF0FA23" w14:textId="77777777" w:rsidR="00837D50" w:rsidRDefault="00000000">
            <w:pPr>
              <w:pStyle w:val="TableContents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uchwytami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D354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035A" w14:textId="77777777" w:rsidR="00837D50" w:rsidRDefault="00000000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produktu:</w:t>
            </w:r>
          </w:p>
          <w:p w14:paraId="183A8043" w14:textId="77777777" w:rsidR="00167A45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sensorycznych pędzli z dużymi uchwytami do rozwijania motoryki małej i kreatywności u dzieci. </w:t>
            </w:r>
          </w:p>
          <w:p w14:paraId="4D2F73E1" w14:textId="77777777" w:rsidR="00167A45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Stemple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(min.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kropki, linie równoległe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ćwieki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przeznaczone do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wykorzystania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 farbami i masami plastycznymi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8DD5242" w14:textId="7E5E2DD3" w:rsidR="00837D50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Pędzle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obejmują 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krótki okrągły, szeroki płaski oraz długi okrągły, </w:t>
            </w:r>
          </w:p>
          <w:p w14:paraId="0DA9A185" w14:textId="77777777" w:rsidR="00837D50" w:rsidRDefault="00837D5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3D42812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C5D78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AA03B" w14:textId="77777777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Żele </w:t>
            </w:r>
            <w:proofErr w:type="gramStart"/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brokatowe .</w:t>
            </w:r>
            <w:proofErr w:type="gramEnd"/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Zestaw 72 sztuk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D6E4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DD266" w14:textId="77777777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Opis produktu:</w:t>
            </w:r>
          </w:p>
          <w:p w14:paraId="441D90A2" w14:textId="26E633C9" w:rsidR="00837D50" w:rsidRDefault="00167A45">
            <w:pPr>
              <w:pStyle w:val="Textbody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72 szt. tubek brokatowych żeli w sześciu różnych kolorach. Każda tubka wyposażona w aplikator.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Pojemność: min. 10 ml</w:t>
            </w:r>
          </w:p>
        </w:tc>
      </w:tr>
      <w:tr w:rsidR="00837D50" w14:paraId="00ACDB63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26B86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B4CB" w14:textId="77777777" w:rsidR="00837D50" w:rsidRDefault="00000000">
            <w:pPr>
              <w:pStyle w:val="TableContents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Pędzle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mopy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zestaw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BA3AA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29B62" w14:textId="77777777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Opis produktu:</w:t>
            </w:r>
          </w:p>
          <w:p w14:paraId="1981EE98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Każdy z pędzli posiada trzonek z tworzywa sztucznego oraz różne końcówki, umożliwiające uzyskanie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różnych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efektów. </w:t>
            </w:r>
          </w:p>
          <w:p w14:paraId="1FCFC45D" w14:textId="29CC9AC8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zestawie min. końcówka z gąbką, plastikowym włosiem, skręconym sznurkiem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nylonową siatką.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szt.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długość: 14 cm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+/- 1 cm</w:t>
            </w:r>
          </w:p>
        </w:tc>
      </w:tr>
      <w:tr w:rsidR="00837D50" w14:paraId="40580E8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0FE7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3C778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Pastele olejne. Zestaw klasowy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0E90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36BD6" w14:textId="30929FD7" w:rsidR="00837D50" w:rsidRDefault="00000000">
            <w:pPr>
              <w:pStyle w:val="TableContents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Opis produktu:</w:t>
            </w:r>
          </w:p>
          <w:p w14:paraId="478A685A" w14:textId="74832E4E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300 szt. i min. 12 kolorów</w:t>
            </w:r>
          </w:p>
          <w:p w14:paraId="67BCD7CE" w14:textId="66D6C5B2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tekturowym, zamykanym pudełku z przegródkami.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ym.: dł.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min.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 cm, śr.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mm.</w:t>
            </w:r>
          </w:p>
          <w:p w14:paraId="52AFE103" w14:textId="77777777" w:rsidR="00837D50" w:rsidRDefault="00837D5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46068C71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1193F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24A13" w14:textId="77777777" w:rsidR="00837D50" w:rsidRDefault="00000000">
            <w:pPr>
              <w:pStyle w:val="TableContents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Nożyczki terapeutyczne łączone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799F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7D83" w14:textId="77777777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Opis produktu:</w:t>
            </w:r>
          </w:p>
          <w:p w14:paraId="692B2CFD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Przeznaczone dla osób niepełnosprawnych, które nie mogą całkowicie władać palcami dłoni. Połączenie utrzymuje nożyczki w pozycji rozwartej.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211537B3" w14:textId="0C15B4C6" w:rsidR="00837D50" w:rsidRDefault="00167A45" w:rsidP="00167A45">
            <w:pPr>
              <w:pStyle w:val="Textbody"/>
              <w:rPr>
                <w:rFonts w:ascii="Times New Roman" w:hAnsi="Times New Roman" w:cs="Times New Roman"/>
                <w:color w:val="1C1C1C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Dł. 20-22 cm </w:t>
            </w:r>
          </w:p>
        </w:tc>
      </w:tr>
      <w:tr w:rsidR="00837D50" w14:paraId="4126A4A7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6B0A8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DC33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Nożyczki terapeutyczne podwójne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48B8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9C3E3" w14:textId="77777777" w:rsidR="00837D50" w:rsidRDefault="00000000">
            <w:pPr>
              <w:pStyle w:val="Textbody"/>
              <w:spacing w:line="240" w:lineRule="auto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Opis produktu:</w:t>
            </w:r>
          </w:p>
          <w:p w14:paraId="1FCA82A9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Nożyczki z podwójnym uchwytem przeznaczone do nauki cięcia przy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wsparciu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drugiej osoby. Przystosowane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także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dla osób niepełnosprawnych. </w:t>
            </w:r>
          </w:p>
          <w:p w14:paraId="39773A62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dł. 1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8-20 cm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118BF445" w14:textId="3A8BED8C" w:rsidR="00837D50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Dla praworęcznych </w:t>
            </w:r>
          </w:p>
        </w:tc>
      </w:tr>
      <w:tr w:rsidR="00837D50" w14:paraId="305FF75E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6D3E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9D72" w14:textId="77777777" w:rsidR="00837D50" w:rsidRDefault="00000000">
            <w:pPr>
              <w:pStyle w:val="TableContents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Nożyczki przedszkolne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E18E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3C57A" w14:textId="77777777" w:rsidR="00837D50" w:rsidRDefault="00000000">
            <w:pPr>
              <w:pStyle w:val="Textbody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produktu</w:t>
            </w:r>
          </w:p>
          <w:p w14:paraId="328B9856" w14:textId="49541287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Nożyczki  z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ostrzem z nierdzewnej stali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. 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umowana rączka. 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0-22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cm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chwyt odpowiedni dla osób zarówno prawo jak i leworęcznych. Posiadają regulowany ścisk.</w:t>
            </w:r>
          </w:p>
        </w:tc>
      </w:tr>
      <w:tr w:rsidR="00837D50" w14:paraId="6A54BA04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1A45B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1908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Laminator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FB3B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1F089" w14:textId="21848BF3" w:rsidR="00837D50" w:rsidRDefault="00000000">
            <w:pPr>
              <w:pStyle w:val="TableContents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produktu</w:t>
            </w:r>
          </w:p>
          <w:p w14:paraId="74F9B327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Laminator z funkcją cofania z czujnikiem, który wskazuje, czy dokument jest źle umieszczony i zatrzymuje proces laminowania.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2A5AE31E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Prędkość laminowania min. 30 cm na minutę. </w:t>
            </w:r>
          </w:p>
          <w:p w14:paraId="7BC7CACA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BB9FDE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Funkcja automatycznego wyłączania. </w:t>
            </w:r>
          </w:p>
          <w:p w14:paraId="47196D7A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E723D6" w14:textId="0B48F755" w:rsidR="00167A45" w:rsidRP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Obsługiwana grubość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folii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min.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zakresie 80 - 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125 mik.</w:t>
            </w:r>
          </w:p>
          <w:p w14:paraId="5581BDB1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5691A5" w14:textId="1DE0D616" w:rsidR="00167A45" w:rsidRP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Laminacja na zimno i na gorąco</w:t>
            </w:r>
          </w:p>
          <w:p w14:paraId="40EF25C4" w14:textId="77777777" w:rsidR="00167A45" w:rsidRDefault="00167A45" w:rsidP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66C176" w14:textId="5AAA5231" w:rsidR="00837D50" w:rsidRDefault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zas nagrzewania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 60 sekund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lub mniej</w:t>
            </w:r>
          </w:p>
          <w:p w14:paraId="0CC936F8" w14:textId="77777777" w:rsidR="00167A45" w:rsidRDefault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4EB18C" w14:textId="10F62E9C" w:rsidR="00167A45" w:rsidRDefault="00167A4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Maks. format laminowanego dokumentu: A4</w:t>
            </w:r>
          </w:p>
          <w:p w14:paraId="4118AA94" w14:textId="77777777" w:rsidR="00837D50" w:rsidRDefault="00837D5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1C17CB23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2BE1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3D51" w14:textId="77777777" w:rsidR="00837D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Klej w płynie transparentny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61973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C10F7" w14:textId="45C4C7A3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color w:val="242424"/>
                <w:sz w:val="22"/>
                <w:szCs w:val="22"/>
              </w:rPr>
              <w:t>Transparentny klej</w:t>
            </w:r>
            <w:r w:rsidR="00167A45">
              <w:rPr>
                <w:rStyle w:val="StrongEmphasis"/>
                <w:rFonts w:ascii="Times New Roman" w:hAnsi="Times New Roman" w:cs="Times New Roman"/>
                <w:b w:val="0"/>
                <w:bCs w:val="0"/>
                <w:color w:val="242424"/>
                <w:sz w:val="22"/>
                <w:szCs w:val="22"/>
              </w:rPr>
              <w:t xml:space="preserve">, </w:t>
            </w: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color w:val="242424"/>
                <w:sz w:val="22"/>
                <w:szCs w:val="22"/>
              </w:rPr>
              <w:t>zmywalny wodą</w:t>
            </w:r>
            <w:r w:rsidR="00167A45">
              <w:rPr>
                <w:rStyle w:val="StrongEmphasis"/>
                <w:rFonts w:ascii="Times New Roman" w:hAnsi="Times New Roman" w:cs="Times New Roman"/>
                <w:b w:val="0"/>
                <w:bCs w:val="0"/>
                <w:color w:val="242424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poręcznej butelce z aplikatorem do klejenia papieru, tektury i tkanin.</w:t>
            </w:r>
          </w:p>
          <w:p w14:paraId="60DF0C1D" w14:textId="118C6089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Klej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odpowiedni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przygotowywania masy plastycznej typu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slime</w:t>
            </w:r>
            <w:proofErr w:type="spellEnd"/>
            <w:r w:rsidR="00167A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7E0A0F4" w14:textId="77777777" w:rsidR="00837D50" w:rsidRDefault="00000000" w:rsidP="00167A45">
            <w:pPr>
              <w:pStyle w:val="Textbody"/>
              <w:numPr>
                <w:ilvl w:val="0"/>
                <w:numId w:val="2"/>
              </w:numPr>
              <w:spacing w:after="0"/>
              <w:ind w:left="435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 xml:space="preserve">Kolor: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bezbarwny</w:t>
            </w:r>
          </w:p>
          <w:p w14:paraId="2F8BAA7A" w14:textId="3263D5F6" w:rsidR="00837D50" w:rsidRDefault="00000000" w:rsidP="00167A45">
            <w:pPr>
              <w:pStyle w:val="Textbody"/>
              <w:numPr>
                <w:ilvl w:val="0"/>
                <w:numId w:val="2"/>
              </w:numPr>
              <w:ind w:left="435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Pojemność: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250ml</w:t>
            </w:r>
          </w:p>
        </w:tc>
      </w:tr>
      <w:tr w:rsidR="00837D50" w14:paraId="1BA5E984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B5C3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CE96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Farby fluorescencyjne</w:t>
            </w:r>
          </w:p>
          <w:p w14:paraId="391F14AD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Zestaw 6 kolorów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915EC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6E04" w14:textId="1445D0A4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Farby plakatowe w butelkach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zestaw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sześciu fluorescencyjnych odcieni, każdy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pojemności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500 ml. </w:t>
            </w:r>
          </w:p>
          <w:p w14:paraId="73C3ECA8" w14:textId="33A8EA19" w:rsidR="00837D50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Barwy można mieszać.</w:t>
            </w:r>
          </w:p>
          <w:p w14:paraId="5B985106" w14:textId="5DDE2EE2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Kolory farby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co najmniej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Czerwony,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ółty, Pomarańczowy, Niebieski, Zielony, Różowy                            </w:t>
            </w:r>
          </w:p>
          <w:p w14:paraId="7D692719" w14:textId="77777777" w:rsidR="00837D50" w:rsidRDefault="00837D5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0DD4B4" w14:textId="77777777" w:rsidR="00837D50" w:rsidRDefault="00837D5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6766DB7B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248D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30685" w14:textId="77777777" w:rsidR="00837D50" w:rsidRDefault="00000000">
            <w:pPr>
              <w:pStyle w:val="TableContents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Duża podkładka do prac plastycznych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F93A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4FCD" w14:textId="2EE70085" w:rsid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tanowi ochronę blatu stołu podczas wykonywania prac plastycznych. Wykonana z trwałego, lekko elastycznego tworzywa.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Wym. 40 x 60 cm, grubość: 0,5-0,6 mm </w:t>
            </w:r>
          </w:p>
          <w:p w14:paraId="435322B2" w14:textId="20F15A05" w:rsidR="00837D50" w:rsidRDefault="00837D5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13DE7A7F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EEF33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587D" w14:textId="740CFA53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Wyprawka plastyczna dla </w:t>
            </w:r>
            <w:r w:rsidR="00C30E5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25 – osobowej grupy dzieci na cały rok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E6888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F510C" w14:textId="489A0F21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artykułów plastycznych zawierający co najmniej:</w:t>
            </w:r>
          </w:p>
          <w:p w14:paraId="29211190" w14:textId="24116BE5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 x Karton kolorowy A3</w:t>
            </w:r>
          </w:p>
          <w:p w14:paraId="7283A5D8" w14:textId="4B64F68C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Plastelina zestaw klasowy</w:t>
            </w:r>
          </w:p>
          <w:p w14:paraId="6825B4DF" w14:textId="02E26EF5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1 x Bibuła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paski-t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ygrys</w:t>
            </w:r>
          </w:p>
          <w:p w14:paraId="44F0B28F" w14:textId="634AC59C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1 x Bibuła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centki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-l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eopard</w:t>
            </w:r>
          </w:p>
          <w:p w14:paraId="30B6B6BC" w14:textId="465935DB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1 x Bibuła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łatki-k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rowa</w:t>
            </w:r>
          </w:p>
          <w:p w14:paraId="7D40096D" w14:textId="1E82DB2A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25 x Kredki świecowe grube</w:t>
            </w:r>
          </w:p>
          <w:p w14:paraId="2565F053" w14:textId="6773EECB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Papier wycinankowy A4</w:t>
            </w:r>
          </w:p>
          <w:p w14:paraId="5F58A626" w14:textId="659CD296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Bibuła gładka 30 ark.</w:t>
            </w:r>
          </w:p>
          <w:p w14:paraId="5BCEB38D" w14:textId="4C47B376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Tektura falista kolorowa</w:t>
            </w:r>
          </w:p>
          <w:p w14:paraId="3EE7084D" w14:textId="75BC9014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Samoprzylepne arkusze folii piankowej</w:t>
            </w:r>
          </w:p>
          <w:p w14:paraId="001B0450" w14:textId="5DF043C7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25 x Teczka prac</w:t>
            </w:r>
          </w:p>
          <w:p w14:paraId="210D2C2E" w14:textId="65651483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Brystol biały A3 100 ark</w:t>
            </w:r>
          </w:p>
          <w:p w14:paraId="5ABB256D" w14:textId="71D0E304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Bibuła Mix</w:t>
            </w:r>
          </w:p>
          <w:p w14:paraId="4F59B32C" w14:textId="75A21333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5 x Tektura falista</w:t>
            </w:r>
          </w:p>
          <w:p w14:paraId="6A1DCB39" w14:textId="65C78A61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Papier kolorowy A3 100 szt.</w:t>
            </w:r>
          </w:p>
          <w:p w14:paraId="68B6ED57" w14:textId="33149902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3 x Papier rysunkowy biały A4</w:t>
            </w:r>
          </w:p>
          <w:p w14:paraId="6870924B" w14:textId="383EBF8A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Brystol A4. Biały</w:t>
            </w:r>
          </w:p>
          <w:p w14:paraId="11612F6A" w14:textId="0C6EA8AC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1 x Farby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litr –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6 kolorów</w:t>
            </w:r>
          </w:p>
          <w:p w14:paraId="2C6552AC" w14:textId="0C498735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Klej uniwersalny 1 litr</w:t>
            </w:r>
          </w:p>
          <w:p w14:paraId="08F07B3C" w14:textId="7BD4C2FC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5 x Buteleczki z dozownikiem</w:t>
            </w:r>
          </w:p>
          <w:p w14:paraId="01597286" w14:textId="2C49295F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Kolorowe ruchome oczka</w:t>
            </w:r>
          </w:p>
          <w:p w14:paraId="7B7D09C7" w14:textId="0DC4E3AD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Druciki kreatywne Kolorowe</w:t>
            </w:r>
          </w:p>
          <w:p w14:paraId="4EA00C6C" w14:textId="555F263C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7 x Pędzle standard okrągłe 4mm 1 szt.</w:t>
            </w:r>
          </w:p>
          <w:p w14:paraId="1ADC4E12" w14:textId="3E4AA317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11 x Pędzle standard okrągłe 8mm 1 szt.</w:t>
            </w:r>
          </w:p>
          <w:p w14:paraId="295E1FD9" w14:textId="505F7448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7 x Pędzle standard płaskie 9mm 1 szt.</w:t>
            </w:r>
          </w:p>
          <w:p w14:paraId="4D5F6C2D" w14:textId="706D8339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Wymienne wkłady z 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czką zestaw</w:t>
            </w:r>
          </w:p>
          <w:p w14:paraId="210AFFDF" w14:textId="34501E17" w:rsidR="00167A45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Kredki trójkątne drewniane cienkie. 300 szt.</w:t>
            </w:r>
          </w:p>
          <w:p w14:paraId="0A6305B4" w14:textId="6F28EDB2" w:rsidR="00837D50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>1 x Pompony kolorowe</w:t>
            </w:r>
          </w:p>
        </w:tc>
      </w:tr>
      <w:tr w:rsidR="00837D50" w14:paraId="68BC86B4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E2524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A91A" w14:textId="1FA67CAD" w:rsidR="00837D50" w:rsidRDefault="00000000">
            <w:pPr>
              <w:pStyle w:val="Standard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Folia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laminacyjna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4  125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mic</w:t>
            </w:r>
            <w:proofErr w:type="spellEnd"/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do laminatora z poz. 8 </w:t>
            </w:r>
          </w:p>
          <w:p w14:paraId="1D6B07D0" w14:textId="77777777" w:rsidR="00837D50" w:rsidRDefault="00837D50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8756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9D13" w14:textId="5109CB0B" w:rsidR="00837D50" w:rsidRDefault="00000000">
            <w:pPr>
              <w:pStyle w:val="Textbody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Folia laminująca - parametry:</w:t>
            </w:r>
          </w:p>
          <w:p w14:paraId="0304D825" w14:textId="3892AA55" w:rsidR="00837D50" w:rsidRDefault="00000000">
            <w:pPr>
              <w:pStyle w:val="Textbody"/>
              <w:numPr>
                <w:ilvl w:val="0"/>
                <w:numId w:val="3"/>
              </w:numPr>
              <w:spacing w:after="0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 xml:space="preserve">Zastosowanie: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folia zagrzewana na gorąco </w:t>
            </w:r>
          </w:p>
          <w:p w14:paraId="6BE4A8AE" w14:textId="7D8EE546" w:rsidR="00837D50" w:rsidRDefault="00000000">
            <w:pPr>
              <w:pStyle w:val="Textbody"/>
              <w:numPr>
                <w:ilvl w:val="0"/>
                <w:numId w:val="3"/>
              </w:numPr>
              <w:spacing w:after="0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Grubość: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125mic</w:t>
            </w:r>
          </w:p>
          <w:p w14:paraId="3E27FF9E" w14:textId="77777777" w:rsidR="00837D50" w:rsidRDefault="00000000">
            <w:pPr>
              <w:pStyle w:val="Textbody"/>
              <w:numPr>
                <w:ilvl w:val="0"/>
                <w:numId w:val="3"/>
              </w:numPr>
              <w:spacing w:after="0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Format: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A4</w:t>
            </w:r>
          </w:p>
          <w:p w14:paraId="1F862A17" w14:textId="6DFEA7D0" w:rsidR="00837D50" w:rsidRDefault="00000000">
            <w:pPr>
              <w:pStyle w:val="Textbody"/>
              <w:numPr>
                <w:ilvl w:val="0"/>
                <w:numId w:val="3"/>
              </w:numPr>
              <w:spacing w:after="0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 xml:space="preserve">Rodzaj: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folia dwustronnie błyszcząca, </w:t>
            </w:r>
          </w:p>
          <w:p w14:paraId="79097816" w14:textId="77777777" w:rsidR="00837D50" w:rsidRDefault="00000000">
            <w:pPr>
              <w:pStyle w:val="Textbody"/>
              <w:numPr>
                <w:ilvl w:val="0"/>
                <w:numId w:val="3"/>
              </w:numPr>
              <w:spacing w:after="0"/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Kolor: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przezroczysty</w:t>
            </w:r>
          </w:p>
          <w:p w14:paraId="7B50EBFC" w14:textId="557120B2" w:rsidR="00837D50" w:rsidRDefault="00000000">
            <w:pPr>
              <w:pStyle w:val="Textbody"/>
              <w:numPr>
                <w:ilvl w:val="0"/>
                <w:numId w:val="3"/>
              </w:numPr>
            </w:pPr>
            <w:r>
              <w:rPr>
                <w:rStyle w:val="StrongEmphasis"/>
                <w:rFonts w:ascii="Times New Roman" w:hAnsi="Times New Roman" w:cs="Times New Roman"/>
                <w:sz w:val="22"/>
                <w:szCs w:val="22"/>
              </w:rPr>
              <w:t>Jednostka sprzedaży: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opakowanie,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 arkuszy</w:t>
            </w:r>
          </w:p>
          <w:p w14:paraId="6A7A1675" w14:textId="77777777" w:rsidR="00837D50" w:rsidRDefault="00837D50">
            <w:pPr>
              <w:pStyle w:val="Textbody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76791540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9F6E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84523" w14:textId="3616FC32" w:rsidR="00837D50" w:rsidRDefault="00000000" w:rsidP="00167A45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pasku kinetycznego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11B78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37B41" w14:textId="77777777" w:rsidR="00837D50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Zawiera miękki piasek i narzędzia do rzeźbienia, zgniatania, stemplowania, kopania, wyciskania i formowania.</w:t>
            </w:r>
          </w:p>
          <w:p w14:paraId="69FD386B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Piasek w 3 kolorach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żółtym, niebieskim i różowym. </w:t>
            </w:r>
          </w:p>
          <w:p w14:paraId="14A0AA6B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y:</w:t>
            </w:r>
          </w:p>
          <w:p w14:paraId="51558990" w14:textId="32434A1B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nożycow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 wymienianymi końcówkami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min.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gwiazdk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kwiatek</w:t>
            </w:r>
          </w:p>
          <w:p w14:paraId="1404817B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stemple </w:t>
            </w:r>
          </w:p>
          <w:p w14:paraId="41F0AD7D" w14:textId="4C2CEA81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wałek </w:t>
            </w:r>
          </w:p>
          <w:p w14:paraId="6CD0E8CF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szufelkę</w:t>
            </w:r>
          </w:p>
          <w:p w14:paraId="4BB83FEC" w14:textId="12AE84E4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n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óż do pizzy z wzorkami na uchwycie.</w:t>
            </w:r>
          </w:p>
        </w:tc>
      </w:tr>
      <w:tr w:rsidR="00837D50" w14:paraId="3CA005D5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3442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9321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4F39F3" w14:textId="5A7EC699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Pędzle mix 24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D468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6F01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pędzli standardowych </w:t>
            </w:r>
          </w:p>
          <w:p w14:paraId="132075EA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Zawartość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minimalna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- 4 x pędzle okrągłe: śr. 4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- 4 x pędzle okrągłe: śr. 8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- 4 x pędzle okrągłe: śr. 12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- 3 x pędzle płaskie: szer. 5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- 3 x pędzle płaskie: szer. 9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- 3 x pędzle płaskie: szer. 15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- 3 x pędzle płaskie: szer. 20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584079C9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Włosie: szczecina </w:t>
            </w:r>
          </w:p>
          <w:p w14:paraId="797C9D00" w14:textId="099E73C8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Trzonek: drewniany</w:t>
            </w:r>
          </w:p>
        </w:tc>
      </w:tr>
      <w:tr w:rsidR="00837D50" w14:paraId="3B7A731E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8761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28DA0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markerów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fluorescyjnych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tablicy podświetlanej</w:t>
            </w:r>
          </w:p>
          <w:p w14:paraId="7DEFF07D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6 kolorów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9E28B" w14:textId="057CBAA6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3D32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markerów dedykowanych do podświetlanych tablic. </w:t>
            </w:r>
          </w:p>
          <w:p w14:paraId="42EA4500" w14:textId="2565D3F4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Kolory w zestawie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min.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żółty, różowy, zielony, biały, niebieski i pomarańczowy. </w:t>
            </w:r>
          </w:p>
          <w:p w14:paraId="344C6773" w14:textId="65748A4B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Grubość końcówki: 1 mm.</w:t>
            </w:r>
          </w:p>
          <w:p w14:paraId="72297500" w14:textId="3065DE1A" w:rsidR="00837D50" w:rsidRDefault="00837D5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78F10C30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11F3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07F20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Tuby sensoryczne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9E563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771A" w14:textId="30FAFBF3" w:rsidR="00837D50" w:rsidRDefault="00167A4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Tuby trwale zamknięte.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4 szt.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wym. 4,5 x 4,5 x 20 cm +/- 1 cm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Dla dzieci od 3 lat</w:t>
            </w:r>
          </w:p>
        </w:tc>
      </w:tr>
      <w:tr w:rsidR="00837D50" w14:paraId="69A405A8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D9548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D122" w14:textId="2E7F31EA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Żelowe brokatowe </w:t>
            </w:r>
            <w:r w:rsidR="00167A45">
              <w:rPr>
                <w:rFonts w:ascii="Times New Roman" w:eastAsia="Arial" w:hAnsi="Times New Roman" w:cs="Times New Roman"/>
                <w:sz w:val="22"/>
                <w:szCs w:val="22"/>
              </w:rPr>
              <w:t>t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ransparentne</w:t>
            </w:r>
            <w:r w:rsidR="00167A45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sz w:val="22"/>
                <w:szCs w:val="22"/>
              </w:rPr>
              <w:t>bryły  do</w:t>
            </w:r>
            <w:proofErr w:type="gramEnd"/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zabaw sensorycznych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E75C" w14:textId="2596D112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B04D" w14:textId="77777777" w:rsid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sensorycznych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transparentnych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brył do stymulacji wzroku i dotyku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ćwiczeń manipulacyjnych.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lementy wypełnione żelem z brokatem, który pod wpływem nacisku tworzy wzory. </w:t>
            </w:r>
          </w:p>
          <w:p w14:paraId="0DA40D6F" w14:textId="3FF8ADE7" w:rsidR="00837D50" w:rsidRDefault="00000000">
            <w:pPr>
              <w:pStyle w:val="Textbody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Wyposażone w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rzepowe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zapięcie, umożliwiają składanie siatek figur w kształty 3D.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Zawartość: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elementy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tym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sześcian, prostopadłościan, graniastosłup, czworościan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foremny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Wymiary: 19 x 26 cm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+/- 2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Materiał: Tworzywo sztuczne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Odpowiednie dla dzieci od 1 roku</w:t>
            </w:r>
          </w:p>
        </w:tc>
      </w:tr>
      <w:tr w:rsidR="00837D50" w14:paraId="3821A0C8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EFEC" w14:textId="77777777" w:rsidR="00837D50" w:rsidRDefault="00837D5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60E2B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8A74DE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Projektor do sali światła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23C0B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E8C0" w14:textId="77777777" w:rsidR="00167A45" w:rsidRDefault="00167A45" w:rsidP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Projektor przestrzenny, który w połączeniu z kolorowymi tarczami pozwala na wyświetlanie obrazów. </w:t>
            </w:r>
          </w:p>
          <w:p w14:paraId="0782BA4C" w14:textId="5CB5D54A" w:rsidR="00837D50" w:rsidRDefault="00167A45" w:rsidP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 zestawie z projektorem powinna być wymienna tarcza żelowa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Musi istnieć możliwość dokupienia większej ilości tarcz.</w:t>
            </w:r>
          </w:p>
          <w:p w14:paraId="3D31BCB8" w14:textId="46C45DDC" w:rsidR="00837D50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Żarówka</w:t>
            </w:r>
            <w:r w:rsidRPr="00167A45">
              <w:rPr>
                <w:rFonts w:ascii="Times New Roman" w:hAnsi="Times New Roman" w:cs="Times New Roman"/>
                <w:sz w:val="22"/>
                <w:szCs w:val="22"/>
              </w:rPr>
              <w:t xml:space="preserve"> 20W, 12V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37D50" w14:paraId="32A9DA4B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1EC7F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ACE28" w14:textId="7651A2ED" w:rsidR="00837D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Piasek kinetyczny niebieski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39E57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913DC" w14:textId="414F48F5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waga: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750 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kolor: niebieski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wiek: 3+.</w:t>
            </w:r>
          </w:p>
          <w:p w14:paraId="153BD011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7D50" w14:paraId="7AAC4CB9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838FA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9E78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Piasek kinetyczny naturalny 2,5 kg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23EA7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AF354" w14:textId="6E449D33" w:rsidR="00837D50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Produkt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bez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konserwantów.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Waga: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2,5 kg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Kolor: naturalny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Wiek: 3+</w:t>
            </w:r>
          </w:p>
          <w:p w14:paraId="1E24AA30" w14:textId="77777777" w:rsidR="00837D50" w:rsidRDefault="00837D50">
            <w:pPr>
              <w:pStyle w:val="Textbody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FA1BBBD" w14:textId="77777777" w:rsidR="00837D50" w:rsidRDefault="00837D50">
            <w:pPr>
              <w:pStyle w:val="Textbody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37D50" w14:paraId="5C7A9140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5A35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669D" w14:textId="0DD566D3" w:rsidR="00837D50" w:rsidRDefault="00167A45">
            <w:pPr>
              <w:pStyle w:val="Standard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Tuby-klepsydry. Mieszanie kolorów</w:t>
            </w:r>
          </w:p>
          <w:p w14:paraId="52627A30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66585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B498" w14:textId="417326DC" w:rsidR="00837D50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Każda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tuba-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klepsydra po potrząśnięciu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pozwala obserwować mieszanie kolorów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które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następnie powoli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się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rozdzielają, wracając do swoich pierwotnych barw.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ogą być używane zarówno w pionie, jak i poziomie. Zawartość jest bezpiecznie zamknięta, a zestaw zawiera przewodnik z aktywnościami wspierającymi zabawę.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Wiek: 3+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Wymiary tuby: 4,5 x 20 cm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+/- 1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Zestaw zawiera 3 sztuki.</w:t>
            </w:r>
          </w:p>
          <w:p w14:paraId="322BFC4B" w14:textId="77777777" w:rsidR="00837D50" w:rsidRDefault="00837D5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37D50" w14:paraId="1977C6C9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33371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9652C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Farby do malowania palcami</w:t>
            </w:r>
          </w:p>
          <w:p w14:paraId="562B0AC5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C4913D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2A8AE4A4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2D7230A2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10C09484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70E4160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08EEED4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5111516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206C8E0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7F913918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0148416A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C021E01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0845E36F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7C32DACF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6012DF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364D0C76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4E3D964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7417B8F3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D1F4A7F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479CC85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0FA7D0C1" w14:textId="77777777" w:rsidR="00837D50" w:rsidRDefault="00837D5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25B3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X 10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C69B" w14:textId="32136121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Zestaw 10</w:t>
            </w:r>
            <w:r w:rsidR="00C30E58"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StrongEmphasis"/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x min. 750 ml.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Gotowe do użycia farby do malowania palcami. Nie wymagają rozcieńczania z wodą. Nadają się do kontaktu ze skórą. Nakładane grubą warstwą wysychają bez pęknięć. Można je nanosić również pędzlem lub gąbką. </w:t>
            </w:r>
          </w:p>
          <w:p w14:paraId="6576CBDD" w14:textId="4C7988D8" w:rsidR="00837D50" w:rsidRDefault="00000000">
            <w:pPr>
              <w:pStyle w:val="Textbody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Farby w plastikowych butelkach o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pojemności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750ml.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Kolory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biały,  czarny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czerwony,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niebieski,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żółty,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pomarańczowy, zielony, różowy, brązowy, fiolet</w:t>
            </w:r>
          </w:p>
        </w:tc>
      </w:tr>
      <w:tr w:rsidR="00837D50" w14:paraId="4BA6D9EC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DD45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26825" w14:textId="56F132E1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Zestaw z lustrami</w:t>
            </w:r>
            <w:r w:rsidR="00167A45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- emocje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499A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147C" w14:textId="0B10BF2C" w:rsidR="00837D50" w:rsidRDefault="00167A45" w:rsidP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zawiera minimum: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- 13 twarzy ekspresyjnych (szczęśliwa, dumna, niecierpliwa, zaskoczona, zdezorientowana, smutna, podekscytowana, znudzona, zmęczona, zagniewana, nieśmiała/ zakłopotana, niespokojna/ zmartwiona, przerażona)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- 3 twarze lustrzane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- 3 białe twarze z powierzchnią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suchościeralna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wymiary twarzy: 21 x 18,5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cm  +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/- 1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przewodnik dla nauczycieli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plakat A3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Dla dzieci w wieku od 3 lat </w:t>
            </w:r>
          </w:p>
        </w:tc>
      </w:tr>
      <w:tr w:rsidR="00837D50" w14:paraId="6BCB79DA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31CC2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31924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Dźwiękowe </w:t>
            </w:r>
            <w:proofErr w:type="gramStart"/>
            <w:r>
              <w:rPr>
                <w:rFonts w:ascii="Times New Roman" w:eastAsia="Arial" w:hAnsi="Times New Roman" w:cs="Times New Roman"/>
                <w:sz w:val="22"/>
                <w:szCs w:val="22"/>
              </w:rPr>
              <w:t>kubeczki ,</w:t>
            </w:r>
            <w:proofErr w:type="gramEnd"/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sortowanie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66F69" w14:textId="1F163A47" w:rsidR="00837D50" w:rsidRDefault="00167A4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7FA6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składający się z przezroczystych kubeczków z pokrywkami, w których zamknięto kolorowe elementy. </w:t>
            </w:r>
          </w:p>
          <w:p w14:paraId="29F93436" w14:textId="77777777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Przeznaczone do nauki sortowania, a także do wydobywania dźwięków przy pomocy koralików. </w:t>
            </w:r>
          </w:p>
          <w:p w14:paraId="0D0D2ED6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Pokrywki wyposażone w gałkę, </w:t>
            </w:r>
          </w:p>
          <w:p w14:paraId="0F37D3F8" w14:textId="5E669077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Zawartość zestawu: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 kubeczków o średnicy 4,5 cm i wysokości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cm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+/- 0,5 cm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wielkości koralików w kolorach: niebieski, żółty, czerwony, zielony, pomarańczowy, fioletowy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Materiał: tworzywo sztuczne Opakowanie: woreczek foliowy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Wiek: 3+</w:t>
            </w:r>
          </w:p>
        </w:tc>
      </w:tr>
      <w:tr w:rsidR="00837D50" w14:paraId="5D3CFA37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9934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4737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70F567" w14:textId="77777777" w:rsidR="00837D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Lustrzane kamienie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343E3" w14:textId="7B5D60BD" w:rsidR="00837D50" w:rsidRDefault="00167A4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6B446" w14:textId="77777777" w:rsidR="00167A45" w:rsidRDefault="00000000" w:rsidP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 gładkich lustrzanych kamyków (wykonane z tworzywa sztucznego) zafascynuje dzieci podczas układania ich w stosy lub sortowania według wielkości. </w:t>
            </w:r>
          </w:p>
          <w:p w14:paraId="0559C5DA" w14:textId="77777777" w:rsidR="00167A45" w:rsidRDefault="00000000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zestawie w 4 różnych rozmiarach o śr. 5 x 4,5cm, 5 x 6cm, 5 x 8cm, 5 x15 cm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(wym. +/- 0,5 cm)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BD09DA8" w14:textId="697695B2" w:rsidR="00837D50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Nadają się do użycia w piasku lub wodzie</w:t>
            </w:r>
          </w:p>
        </w:tc>
      </w:tr>
      <w:tr w:rsidR="00837D50" w14:paraId="41A614EC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7F510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1B90" w14:textId="4ED82B3D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Cylindry świetlne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B385C" w14:textId="0E96F9FF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Zestaw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086C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Zawartość zestawu: </w:t>
            </w:r>
          </w:p>
          <w:p w14:paraId="6455A601" w14:textId="77777777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min. 12 cylindrów w co najmniej 6 kolorach,</w:t>
            </w:r>
          </w:p>
          <w:p w14:paraId="641CD862" w14:textId="5B803EED" w:rsidR="00837D50" w:rsidRPr="00167A45" w:rsidRDefault="00167A45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kabel USB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 Wymiary cylindra: długość 21 cm, średnica 3 cm +/- 0,5 cm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Czas ładowania: do 4 godzin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Czas pracy: min. 6 godzin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Wiek: od 10 miesięcy</w:t>
            </w:r>
          </w:p>
        </w:tc>
      </w:tr>
      <w:tr w:rsidR="00837D50" w14:paraId="046BCAB0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7C1A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0EA72B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FF87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6AAEE4" w14:textId="3DBE4672" w:rsidR="00837D50" w:rsidRDefault="00167A45">
            <w:pPr>
              <w:pStyle w:val="Standard"/>
            </w:pPr>
            <w:r w:rsidRPr="00167A45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Dotknij, poczuj, </w:t>
            </w:r>
            <w:proofErr w:type="spellStart"/>
            <w:r w:rsidRPr="00167A45">
              <w:rPr>
                <w:rFonts w:ascii="Times New Roman" w:eastAsia="Arial" w:hAnsi="Times New Roman" w:cs="Times New Roman"/>
                <w:sz w:val="22"/>
                <w:szCs w:val="22"/>
              </w:rPr>
              <w:t>ułoż</w:t>
            </w:r>
            <w:proofErr w:type="spellEnd"/>
            <w:r w:rsidRPr="00167A45">
              <w:rPr>
                <w:rFonts w:ascii="Times New Roman" w:eastAsia="Arial" w:hAnsi="Times New Roman" w:cs="Times New Roman"/>
                <w:sz w:val="22"/>
                <w:szCs w:val="22"/>
              </w:rPr>
              <w:t>. Sensoryczny zestaw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lub równoważny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43A4B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E814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min. 3 gier, które ćwiczą pamięć, zdolności motoryczne, umiejętności społeczne i kreatywność. </w:t>
            </w:r>
          </w:p>
          <w:p w14:paraId="0799C77F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Mechanika rozgrywki:</w:t>
            </w:r>
          </w:p>
          <w:p w14:paraId="2C155490" w14:textId="2B8F0375" w:rsid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Rzut kostką decyduje, w którą propozycję zagrają użytkownicy w danej rundzie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lub gracze wybierają grę będącą przedmiotem rozgrywki.</w:t>
            </w:r>
          </w:p>
          <w:p w14:paraId="7A0B1AD9" w14:textId="395A2790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BBFE86" w14:textId="57307F16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Gry obejmujące co najmniej:</w:t>
            </w:r>
          </w:p>
          <w:p w14:paraId="35C6FE9A" w14:textId="7828E4FB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odgadywanie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liter, cyfr lub obrazk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ów rysowanych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na plecach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(min. 60 liter, cyfr lub obrazków)</w:t>
            </w:r>
          </w:p>
          <w:p w14:paraId="1C0D67C5" w14:textId="2C3EA5D5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dobieranie przedmiotów z odpowiednią fakturą, gdy oczy są zasłonięte (min. 9 przedmiotów i odpowiadających im fakturą kartoników),</w:t>
            </w:r>
          </w:p>
          <w:p w14:paraId="5CC8BDBC" w14:textId="70FBB7B8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przyporządkowywa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kartonik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ów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 obrazkiem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do 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zmysłów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(min. 55 kartoników)</w:t>
            </w:r>
            <w:r w:rsidRP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320B16FC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kostkę </w:t>
            </w:r>
          </w:p>
          <w:p w14:paraId="0808ACC9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instrukcja </w:t>
            </w:r>
          </w:p>
          <w:p w14:paraId="127D8239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przeznaczenie dla 2-6 graczy</w:t>
            </w:r>
          </w:p>
          <w:p w14:paraId="42FD2471" w14:textId="2B54AA3D" w:rsidR="00837D50" w:rsidRP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wiek: od 2 lat</w:t>
            </w:r>
          </w:p>
        </w:tc>
      </w:tr>
      <w:tr w:rsidR="00837D50" w14:paraId="4519787B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B67ED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CC76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568AC8" w14:textId="0062ECD4" w:rsidR="00837D50" w:rsidRDefault="00167A45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Zestaw do nauki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sortowania i liczenia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F22C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F39EA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edukacyjny, który wspiera naukę sortowania, liczenia oraz rozwijanie umiejętności matematycznych i koordynacji wzrokowo-ruchowej. </w:t>
            </w:r>
          </w:p>
          <w:p w14:paraId="0DB1B149" w14:textId="77777777" w:rsid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Zawiera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transparentne zwierzątka jednego rodzaju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trzech rozmiarach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min. 6 kolorach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pęsety oraz miseczki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kolorach zwierzątek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co pozwala na ćwiczenie dopasowywania, sortowania według kolorów, a także rozwój zdolności manualnych. </w:t>
            </w:r>
          </w:p>
          <w:p w14:paraId="61615FCD" w14:textId="77777777" w:rsid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nadający się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do pracy z dziećmi w terapii zajęciowej oraz w edukacji specjalnej. </w:t>
            </w:r>
          </w:p>
          <w:p w14:paraId="0B97A6C6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zapakowany w pojemnik z tworzywa sztucznego.</w:t>
            </w:r>
          </w:p>
          <w:p w14:paraId="7F56EEF0" w14:textId="4C4BC907" w:rsidR="00837D50" w:rsidRDefault="00000000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Wiek: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od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lat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</w:tc>
      </w:tr>
      <w:tr w:rsidR="00837D50" w14:paraId="5BDD7751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FD3EE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5C14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F34674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Podświetlana tablica do rysowania   A1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2AC27" w14:textId="77777777" w:rsidR="00837D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380E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Tablica w formacie A1, świecąca w min. siedmiu kolorach, umożliwiająca tworzenie rysunków i notatek. </w:t>
            </w:r>
          </w:p>
          <w:p w14:paraId="0A24BF7B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Każda połowa tablicy może działać niezależnie.</w:t>
            </w:r>
          </w:p>
          <w:p w14:paraId="0379EB34" w14:textId="77777777" w:rsidR="00167A45" w:rsidRDefault="00167A45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Możliwość użycia markerów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fluoresencyjnych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14:paraId="679C1A5C" w14:textId="21240FD4" w:rsid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Zawartość zestawu: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tablica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instrukcja,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zasilacz sieciowy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Czas pracy: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godzin po pełnym naładowaniu (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ładowanie max.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godziny)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14:paraId="73ECBB61" w14:textId="390E2FC7" w:rsidR="00837D50" w:rsidRPr="00167A45" w:rsidRDefault="00000000">
            <w:pPr>
              <w:pStyle w:val="Textbody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Wiek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od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167A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lat</w:t>
            </w:r>
          </w:p>
        </w:tc>
      </w:tr>
      <w:tr w:rsidR="00837D50" w14:paraId="26DACBD5" w14:textId="77777777">
        <w:tc>
          <w:tcPr>
            <w:tcW w:w="9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73AA9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2563D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432AC5" w14:textId="027340E2" w:rsidR="00837D50" w:rsidRDefault="00167A45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Zestaw piłeczek do masażu</w:t>
            </w:r>
          </w:p>
        </w:tc>
        <w:tc>
          <w:tcPr>
            <w:tcW w:w="1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7B6B" w14:textId="2221AD5B" w:rsidR="00837D50" w:rsidRDefault="00000000" w:rsidP="00167A4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2A3A" w14:textId="7CCF1BFA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zawiera:</w:t>
            </w:r>
          </w:p>
          <w:p w14:paraId="4CA92005" w14:textId="004CAB44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2 x piłeczka o średnicy 8 cm +/-0,5 cm, </w:t>
            </w:r>
          </w:p>
          <w:p w14:paraId="7E04ABAE" w14:textId="4ED95E8A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2 x piłeczki o średnicy 10 cm +/- 0,5 cm</w:t>
            </w:r>
          </w:p>
          <w:p w14:paraId="510860A4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Obciążenie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maksymalne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min.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300 kg </w:t>
            </w:r>
          </w:p>
          <w:p w14:paraId="7ECD58F6" w14:textId="3C8B8F61" w:rsidR="00837D50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Materiał: Tworzywo sztuczne</w:t>
            </w:r>
          </w:p>
        </w:tc>
      </w:tr>
      <w:tr w:rsidR="00837D50" w14:paraId="554C5CF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A6499" w14:textId="77777777" w:rsidR="00837D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2098" w14:textId="77777777" w:rsidR="00837D50" w:rsidRDefault="00837D5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2926FC" w14:textId="77777777" w:rsidR="00837D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Tablice z fakturami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5B21" w14:textId="78917790" w:rsidR="00837D50" w:rsidRDefault="00167A4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6AAA" w14:textId="66559612" w:rsidR="00167A45" w:rsidRDefault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8 par (16 szt.) tabliczek, na których znajdują się różne materiały o odmiennych fakturach. </w:t>
            </w:r>
          </w:p>
          <w:p w14:paraId="28B15E45" w14:textId="77777777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Tabliczki umieszczone w drewnianej podstawie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A99A1E5" w14:textId="643B469D" w:rsidR="00167A45" w:rsidRDefault="00000000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Wymiary tabliczki: 15 x 11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1 cm </w:t>
            </w:r>
            <w:r w:rsidR="00167A45">
              <w:rPr>
                <w:rFonts w:ascii="Times New Roman" w:hAnsi="Times New Roman" w:cs="Times New Roman"/>
                <w:sz w:val="22"/>
                <w:szCs w:val="22"/>
              </w:rPr>
              <w:t xml:space="preserve">+/- 0,5 cm </w:t>
            </w:r>
          </w:p>
          <w:p w14:paraId="5B834073" w14:textId="2CF75F93" w:rsidR="00837D50" w:rsidRPr="00167A45" w:rsidRDefault="00837D50" w:rsidP="00167A45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971365" w14:textId="77777777" w:rsidR="00837D50" w:rsidRDefault="00837D50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837D50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B77E2" w14:textId="77777777" w:rsidR="00103066" w:rsidRDefault="00103066">
      <w:r>
        <w:separator/>
      </w:r>
    </w:p>
  </w:endnote>
  <w:endnote w:type="continuationSeparator" w:id="0">
    <w:p w14:paraId="35E422BD" w14:textId="77777777" w:rsidR="00103066" w:rsidRDefault="0010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0"/>
    <w:family w:val="auto"/>
    <w:pitch w:val="variable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4EE7E" w14:textId="77777777" w:rsidR="00103066" w:rsidRDefault="00103066">
      <w:r>
        <w:rPr>
          <w:color w:val="000000"/>
        </w:rPr>
        <w:separator/>
      </w:r>
    </w:p>
  </w:footnote>
  <w:footnote w:type="continuationSeparator" w:id="0">
    <w:p w14:paraId="35913147" w14:textId="77777777" w:rsidR="00103066" w:rsidRDefault="0010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CFC9" w14:textId="77777777" w:rsidR="00911C90" w:rsidRDefault="00911C90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9DA9" w14:textId="77777777" w:rsidR="00911C90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266CA8" wp14:editId="2123171D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629543068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724310F" w14:textId="77777777" w:rsidR="00911C90" w:rsidRDefault="00911C90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462BB"/>
    <w:multiLevelType w:val="multilevel"/>
    <w:tmpl w:val="EF4CED7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50128D0"/>
    <w:multiLevelType w:val="multilevel"/>
    <w:tmpl w:val="B97AF23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3D8C742C"/>
    <w:multiLevelType w:val="multilevel"/>
    <w:tmpl w:val="35AECCC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73A42811"/>
    <w:multiLevelType w:val="multilevel"/>
    <w:tmpl w:val="896EAE4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999915334">
    <w:abstractNumId w:val="0"/>
  </w:num>
  <w:num w:numId="2" w16cid:durableId="146482861">
    <w:abstractNumId w:val="1"/>
  </w:num>
  <w:num w:numId="3" w16cid:durableId="950818239">
    <w:abstractNumId w:val="2"/>
  </w:num>
  <w:num w:numId="4" w16cid:durableId="1264412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50"/>
    <w:rsid w:val="00103066"/>
    <w:rsid w:val="00167A45"/>
    <w:rsid w:val="001E150C"/>
    <w:rsid w:val="00612F96"/>
    <w:rsid w:val="0082149E"/>
    <w:rsid w:val="00837D50"/>
    <w:rsid w:val="00911C90"/>
    <w:rsid w:val="00967DE5"/>
    <w:rsid w:val="00C3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A220D2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1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1534</Words>
  <Characters>9206</Characters>
  <Application>Microsoft Office Word</Application>
  <DocSecurity>0</DocSecurity>
  <Lines>76</Lines>
  <Paragraphs>21</Paragraphs>
  <ScaleCrop>false</ScaleCrop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2025-06-28T12:16:00Z</dcterms:created>
  <dcterms:modified xsi:type="dcterms:W3CDTF">2025-06-29T21:44:00Z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