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Załącznik nr 8 do Części I SWZ – Instrukcja dla Wykonawców (IDW)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Nr postępowania: </w:t>
      </w:r>
      <w:r w:rsidDel="00000000" w:rsidR="00000000" w:rsidRPr="00000000">
        <w:rPr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right="4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right="4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3" w:line="268" w:lineRule="auto"/>
        <w:ind w:right="4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 braku zaistnienia przesłanek wykluczenia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7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125"/>
        <w:jc w:val="both"/>
        <w:rPr/>
      </w:pPr>
      <w:bookmarkStart w:colFirst="0" w:colLast="0" w:name="_j71hz03n8c1m" w:id="0"/>
      <w:bookmarkEnd w:id="0"/>
      <w:r w:rsidDel="00000000" w:rsidR="00000000" w:rsidRPr="00000000">
        <w:rPr>
          <w:color w:val="000000"/>
          <w:rtl w:val="0"/>
        </w:rPr>
        <w:t xml:space="preserve">Przystępując do udziału w postępowaniu nr </w:t>
      </w:r>
      <w:r w:rsidDel="00000000" w:rsidR="00000000" w:rsidRPr="00000000">
        <w:rPr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na:</w:t>
      </w:r>
      <w:r w:rsidDel="00000000" w:rsidR="00000000" w:rsidRPr="00000000">
        <w:rPr>
          <w:rtl w:val="0"/>
        </w:rPr>
        <w:t xml:space="preserve"> realizację prac w zakresie realizacji przedsięwzięcia inwestycyjnego pn. „Budowa kotła biomasowego w ramach ciepłowni w Świeciu”,</w:t>
      </w:r>
    </w:p>
    <w:p w:rsidR="00000000" w:rsidDel="00000000" w:rsidP="00000000" w:rsidRDefault="00000000" w:rsidRPr="00000000" w14:paraId="00000008">
      <w:pPr>
        <w:spacing w:after="0" w:line="240" w:lineRule="auto"/>
        <w:ind w:right="125"/>
        <w:jc w:val="both"/>
        <w:rPr/>
      </w:pPr>
      <w:bookmarkStart w:colFirst="0" w:colLast="0" w:name="_l68vhlpcwihl" w:id="1"/>
      <w:bookmarkEnd w:id="1"/>
      <w:r w:rsidDel="00000000" w:rsidR="00000000" w:rsidRPr="00000000">
        <w:rPr>
          <w:rtl w:val="0"/>
        </w:rPr>
        <w:t xml:space="preserve">w ramach przedsięwzięcia inwestycyjnego pn. „Budowa kotła biomasowego w ramach ciepłowni w Świeciu”. </w:t>
      </w:r>
    </w:p>
    <w:p w:rsidR="00000000" w:rsidDel="00000000" w:rsidP="00000000" w:rsidRDefault="00000000" w:rsidRPr="00000000" w14:paraId="00000009">
      <w:pPr>
        <w:spacing w:after="0" w:line="240" w:lineRule="auto"/>
        <w:ind w:right="125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Oświadczam, że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134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jestem/nie jestem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(niepotrzebne skreślić) </w:t>
      </w:r>
      <w:r w:rsidDel="00000000" w:rsidR="00000000" w:rsidRPr="00000000">
        <w:rPr>
          <w:color w:val="000000"/>
          <w:rtl w:val="0"/>
        </w:rPr>
        <w:t xml:space="preserve">podmiotem, który jest objęty jakimikolwiek sankcjami obowiązującymi w Polsce lub w Unii Europejskiej, w szczególności sankcjami w związku z agresją Federacji Rosyjskiej na Ukrainę rozpoczętą w dniu 24 lutego 2022 r., w tym jest wymieniony w wykazach określonych w rozporządzeniu 765/2006 i w rozporządzeniu 269/2014 lub wpisany na listę osób i podmiotów, wobec których są stosowane środki, o których mowa w art. 1 ustawy z dnia 13 kwietnia 2022 r. o szczególnych rozwiązaniach w zakresie przeciwdziałania wspieraniu agresji na Ukrainę oraz służących ochronie bezpieczeństwa narodowego lub którego beneficjent rzeczywisty (w rozumieniu ustawy z dnia 1 marca 2018 r. o przeciwdziałaniu praniu pieniędzy oraz finansowaniu terroryzmu) lub jednostka dominująca (w rozumieniu ustawy z dnia 29 września 1994 r. o rachunkowości) jest osobą objętą w/w sankcjami;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134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jestem/nie jestem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(niepotrzebne skreślić) </w:t>
      </w:r>
      <w:r w:rsidDel="00000000" w:rsidR="00000000" w:rsidRPr="00000000">
        <w:rPr>
          <w:color w:val="000000"/>
          <w:rtl w:val="0"/>
        </w:rPr>
        <w:t xml:space="preserve">podmiotem, który w ciągu ostatnich 3 lat przed upływem terminu składania ofert w sposób zawiniony poważnie naruszył obowiązki zawodowe, co podważa jego uczciwość, w szczególności gdy wykonawca w wyniku zamierzonego działania lub rażącego niedbalstwa nie wykonał lub nienależycie wykonał zamówienie;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134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jestem/nie jestem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(niepotrzebne skreślić) </w:t>
      </w:r>
      <w:r w:rsidDel="00000000" w:rsidR="00000000" w:rsidRPr="00000000">
        <w:rPr>
          <w:color w:val="000000"/>
          <w:rtl w:val="0"/>
        </w:rPr>
        <w:t xml:space="preserve">podmiotem, który w ciągu ostatnich 3 lat przed upływem terminu składania ofert, z przyczyn leżących po jego stronie, nie wykonał lub nienależycie wykonał istotne zobowiązanie wynikające z wcześniejszej umowy, co doprowadziło do wypowiedzenia lub odstąpienia od umowy, odszkodowania, wykonania zastępczego, realizacji uprawnień z tytułu rękojmi za wady lub innej podobnej sankcji;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134" w:hanging="42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jestem/nie jestem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(niepotrzebne skreślić) </w:t>
      </w:r>
      <w:r w:rsidDel="00000000" w:rsidR="00000000" w:rsidRPr="00000000">
        <w:rPr>
          <w:color w:val="000000"/>
          <w:rtl w:val="0"/>
        </w:rPr>
        <w:t xml:space="preserve">podmiotem, który w ciągu ostatnich 3 lat przed upływem terminu składania ofert lub w ramach Postępowania w wyniku zamierzonego działania, rażącego niedbalstwa, lekkomyślności lub niedbalstwa wprowadził zamawiającego w błąd przy przedstawianiu informacji, że nie podlega wykluczeniu, spełnia warunki udziału w postępowaniu lub kryteria oceny ofert, co mogło mieć istotny wpływ na decyzje podejmowane przez zamawiającego w postępowaniu o udzielenie zamówienia, lub który zataił te informacje lub nie jest w stanie przedstawić wymaganych podmiotowych środków dowodowych.</w:t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80"/>
        </w:tabs>
        <w:spacing w:after="0" w:line="300" w:lineRule="auto"/>
        <w:ind w:left="1134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80"/>
        </w:tabs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 przypadku odpowiedzi twierdzącej na którekolwiek z ww. oświadczeń prosimy o podanie szczegółowych informacji ze wskazaniem istotnych okoliczności sprawy: 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80"/>
        </w:tabs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0" w:line="30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</w:t>
        <w:tab/>
        <w:tab/>
        <w:tab/>
        <w:t xml:space="preserve">………………………………………………………………………</w:t>
        <w:tab/>
      </w:r>
    </w:p>
    <w:p w:rsidR="00000000" w:rsidDel="00000000" w:rsidP="00000000" w:rsidRDefault="00000000" w:rsidRPr="00000000" w14:paraId="00000015">
      <w:pPr>
        <w:tabs>
          <w:tab w:val="center" w:leader="none" w:pos="1418"/>
          <w:tab w:val="center" w:leader="none" w:pos="6521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ab/>
        <w:t xml:space="preserve">miejscowość, data</w:t>
      </w:r>
      <w:r w:rsidDel="00000000" w:rsidR="00000000" w:rsidRPr="00000000">
        <w:rPr>
          <w:i w:val="1"/>
          <w:sz w:val="20"/>
          <w:szCs w:val="20"/>
          <w:rtl w:val="0"/>
        </w:rPr>
        <w:tab/>
      </w:r>
      <w:r w:rsidDel="00000000" w:rsidR="00000000" w:rsidRPr="00000000">
        <w:rPr>
          <w:i w:val="1"/>
          <w:sz w:val="16"/>
          <w:szCs w:val="16"/>
          <w:rtl w:val="0"/>
        </w:rPr>
        <w:t xml:space="preserve">(podpis osoby uprawnionej do reprezentowania Wykonawcy)</w:t>
      </w:r>
    </w:p>
    <w:p w:rsidR="00000000" w:rsidDel="00000000" w:rsidP="00000000" w:rsidRDefault="00000000" w:rsidRPr="00000000" w14:paraId="00000016">
      <w:pPr>
        <w:tabs>
          <w:tab w:val="center" w:leader="none" w:pos="1418"/>
          <w:tab w:val="center" w:leader="none" w:pos="6237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right="40"/>
        <w:jc w:val="center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535"/>
        <w:tab w:val="left" w:leader="none" w:pos="7950"/>
      </w:tabs>
      <w:spacing w:after="120" w:before="120" w:line="24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1068" w:hanging="360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