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ind w:right="265.2755905511822"/>
        <w:jc w:val="right"/>
        <w:rPr>
          <w:b w:val="1"/>
          <w:sz w:val="24"/>
          <w:szCs w:val="24"/>
        </w:rPr>
      </w:pPr>
      <w:r w:rsidDel="00000000" w:rsidR="00000000" w:rsidRPr="00000000">
        <w:rPr>
          <w:b w:val="1"/>
          <w:sz w:val="24"/>
          <w:szCs w:val="24"/>
          <w:rtl w:val="0"/>
        </w:rPr>
        <w:t xml:space="preserve">Załącznik nr 12 do Umowy - Zasady uczciwego kontraktowania</w:t>
      </w:r>
    </w:p>
    <w:p w:rsidR="00000000" w:rsidDel="00000000" w:rsidP="00000000" w:rsidRDefault="00000000" w:rsidRPr="00000000" w14:paraId="00000002">
      <w:pPr>
        <w:widowControl w:val="0"/>
        <w:spacing w:after="240" w:line="240" w:lineRule="auto"/>
        <w:ind w:right="265.2755905511822"/>
        <w:jc w:val="right"/>
        <w:rPr>
          <w:b w:val="1"/>
          <w:sz w:val="24"/>
          <w:szCs w:val="24"/>
        </w:rPr>
      </w:pPr>
      <w:r w:rsidDel="00000000" w:rsidR="00000000" w:rsidRPr="00000000">
        <w:rPr>
          <w:rtl w:val="0"/>
        </w:rPr>
      </w:r>
    </w:p>
    <w:p w:rsidR="00000000" w:rsidDel="00000000" w:rsidP="00000000" w:rsidRDefault="00000000" w:rsidRPr="00000000" w14:paraId="00000003">
      <w:pPr>
        <w:ind w:right="265.2755905511822"/>
        <w:rPr/>
      </w:pPr>
      <w:r w:rsidDel="00000000" w:rsidR="00000000" w:rsidRPr="00000000">
        <w:rPr>
          <w:rtl w:val="0"/>
        </w:rPr>
      </w:r>
    </w:p>
    <w:p w:rsidR="00000000" w:rsidDel="00000000" w:rsidP="00000000" w:rsidRDefault="00000000" w:rsidRPr="00000000" w14:paraId="00000004">
      <w:pPr>
        <w:numPr>
          <w:ilvl w:val="0"/>
          <w:numId w:val="1"/>
        </w:numPr>
        <w:ind w:left="720" w:right="265.2755905511822" w:hanging="360"/>
        <w:jc w:val="both"/>
        <w:rPr/>
      </w:pPr>
      <w:r w:rsidDel="00000000" w:rsidR="00000000" w:rsidRPr="00000000">
        <w:rPr>
          <w:rtl w:val="0"/>
        </w:rPr>
        <w:t xml:space="preserve">Strony niniejszym zobowiązują się do ścisłego przestrzegania wszelkich obowiązujących przepisów dotyczących etyki biznesu, w tym przepisów zabraniających przekupstwa funkcjonariuszy publicznych lub prywatnych, płatnej protekcji, prania brudnych pieniędzy.</w:t>
      </w:r>
      <w:r w:rsidDel="00000000" w:rsidR="00000000" w:rsidRPr="00000000">
        <w:rPr>
          <w:rtl w:val="0"/>
        </w:rPr>
      </w:r>
    </w:p>
    <w:p w:rsidR="00000000" w:rsidDel="00000000" w:rsidP="00000000" w:rsidRDefault="00000000" w:rsidRPr="00000000" w14:paraId="00000005">
      <w:pPr>
        <w:numPr>
          <w:ilvl w:val="0"/>
          <w:numId w:val="1"/>
        </w:numPr>
        <w:ind w:left="720" w:right="265.2755905511822" w:hanging="360"/>
        <w:jc w:val="both"/>
        <w:rPr/>
      </w:pPr>
      <w:r w:rsidDel="00000000" w:rsidR="00000000" w:rsidRPr="00000000">
        <w:rPr>
          <w:rtl w:val="0"/>
        </w:rPr>
        <w:t xml:space="preserve">Strony zobowiązują się do wprowadzenia i wdrożenia wszelkich niezbędnych i rozsądnych polityk i środków zapobiegających korupcji.</w:t>
      </w:r>
      <w:r w:rsidDel="00000000" w:rsidR="00000000" w:rsidRPr="00000000">
        <w:rPr>
          <w:rtl w:val="0"/>
        </w:rPr>
      </w:r>
    </w:p>
    <w:p w:rsidR="00000000" w:rsidDel="00000000" w:rsidP="00000000" w:rsidRDefault="00000000" w:rsidRPr="00000000" w14:paraId="00000006">
      <w:pPr>
        <w:numPr>
          <w:ilvl w:val="0"/>
          <w:numId w:val="1"/>
        </w:numPr>
        <w:ind w:left="720" w:right="265.2755905511822" w:hanging="360"/>
        <w:jc w:val="both"/>
        <w:rPr/>
      </w:pPr>
      <w:r w:rsidDel="00000000" w:rsidR="00000000" w:rsidRPr="00000000">
        <w:rPr>
          <w:rtl w:val="0"/>
        </w:rPr>
        <w:t xml:space="preserve">Wykonawca oświadcza, że według jego wiedzy żaden z jego przedstawicieli ani osób, które w jego imieniu wykonują usługi lub dostarczają towary na mocy niniejszej Umowy, nie będzie oferował, dawał, zabiegał ani otrzymywał jakichkolwiek korzyści od/do publicznej lub prywatnej osoby prawnej, osoby fizycznej (w tym funkcjonariusza publicznego) lub innej jednostki z zamiarem popełnienia któregokolwiek z naruszeń, o których mowa w pierwszym akapicie.</w:t>
      </w:r>
      <w:r w:rsidDel="00000000" w:rsidR="00000000" w:rsidRPr="00000000">
        <w:rPr>
          <w:rtl w:val="0"/>
        </w:rPr>
      </w:r>
    </w:p>
    <w:p w:rsidR="00000000" w:rsidDel="00000000" w:rsidP="00000000" w:rsidRDefault="00000000" w:rsidRPr="00000000" w14:paraId="00000007">
      <w:pPr>
        <w:numPr>
          <w:ilvl w:val="0"/>
          <w:numId w:val="1"/>
        </w:numPr>
        <w:ind w:left="720" w:right="265.2755905511822" w:hanging="360"/>
        <w:jc w:val="both"/>
        <w:rPr/>
      </w:pPr>
      <w:r w:rsidDel="00000000" w:rsidR="00000000" w:rsidRPr="00000000">
        <w:rPr>
          <w:rtl w:val="0"/>
        </w:rPr>
        <w:t xml:space="preserve">Wykonawca oświadcza, że jest uprawniony do występowania w obrocie prawnym, zgodnie z obowiązującymi wymaganiami prawnymi i nie jest objęty żadnymi sankcjami obowiązującymi w Polsce ani w Unii Europejskiej. W szczególności Wykonawca oświadcza, że nie jest objęty żadnymi sankcjami w związku z agresją Federacji Rosyjskiej na Ukrainę rozpoczętą w dniu 24 lutego 2022 r., w tym nie jest wymieniony w wykazach określonych w rozporządzeniu 765/2006 i w rozporządzeniu 269/2014, ani wpisany na listę osób i podmiotów, wobec których są stosowane środki, o których mowa w art. 1 ustawy z dnia 13 kwietnia 2022 r. o szczególnych rozwiązaniach w zakresie przeciwdziałania wspieraniu agresji na Ukrainę oraz służących ochronie bezpieczeństwa narodowego. Wykonawca oświadcza, że jego beneficjentem rzeczywistym (w rozumieniu ustawy z dnia 1 marca 2018 r. o przeciwdziałaniu praniu pieniędzy oraz finansowaniu terroryzmu) ani jednostką dominującą (w rozumieniu ustawy z dnia 29 września 1994 r. o rachunkowości) nie jest osoba objęta w/w sankcjami.</w:t>
      </w:r>
      <w:r w:rsidDel="00000000" w:rsidR="00000000" w:rsidRPr="00000000">
        <w:rPr>
          <w:rtl w:val="0"/>
        </w:rPr>
      </w:r>
    </w:p>
    <w:p w:rsidR="00000000" w:rsidDel="00000000" w:rsidP="00000000" w:rsidRDefault="00000000" w:rsidRPr="00000000" w14:paraId="00000008">
      <w:pPr>
        <w:numPr>
          <w:ilvl w:val="0"/>
          <w:numId w:val="1"/>
        </w:numPr>
        <w:ind w:left="720" w:right="265.2755905511822" w:hanging="360"/>
        <w:jc w:val="both"/>
        <w:rPr/>
      </w:pPr>
      <w:r w:rsidDel="00000000" w:rsidR="00000000" w:rsidRPr="00000000">
        <w:rPr>
          <w:rtl w:val="0"/>
        </w:rPr>
        <w:t xml:space="preserve">Jeżeli Veolia (Zamawiający) będzie miała uzasadnione podstawy, aby uważać, że niniejsza klauzula została naruszona, może zawiesić, za zwykłym powiadomieniem, bez uprzedzenia, wykonywanie niniejszej Umowy, na czas niezbędny do sprawdzenia sytuacji, bez ponoszenia odpowiedzialności, w tym wobec Wykonawcy. Strony wspólnie zobowiązują się do przeprowadzenia niezbędnej weryfikacji, współpracując w dobrej wierze. </w:t>
      </w:r>
      <w:r w:rsidDel="00000000" w:rsidR="00000000" w:rsidRPr="00000000">
        <w:rPr>
          <w:rtl w:val="0"/>
        </w:rPr>
      </w:r>
    </w:p>
    <w:p w:rsidR="00000000" w:rsidDel="00000000" w:rsidP="00000000" w:rsidRDefault="00000000" w:rsidRPr="00000000" w14:paraId="00000009">
      <w:pPr>
        <w:numPr>
          <w:ilvl w:val="0"/>
          <w:numId w:val="1"/>
        </w:numPr>
        <w:ind w:left="720" w:right="265.2755905511822" w:hanging="360"/>
        <w:jc w:val="both"/>
        <w:rPr/>
      </w:pPr>
      <w:r w:rsidDel="00000000" w:rsidR="00000000" w:rsidRPr="00000000">
        <w:rPr>
          <w:rtl w:val="0"/>
        </w:rPr>
        <w:t xml:space="preserve">W przypadku udowodnionego naruszenia Veolia (Zamawiający) może rozwiązać Umowę bez zachowania okresu wypowiedzenia i bez ponoszenia odpowiedzialności.  </w:t>
      </w:r>
      <w:r w:rsidDel="00000000" w:rsidR="00000000" w:rsidRPr="00000000">
        <w:rPr>
          <w:rtl w:val="0"/>
        </w:rPr>
      </w:r>
    </w:p>
    <w:p w:rsidR="00000000" w:rsidDel="00000000" w:rsidP="00000000" w:rsidRDefault="00000000" w:rsidRPr="00000000" w14:paraId="0000000A">
      <w:pPr>
        <w:numPr>
          <w:ilvl w:val="0"/>
          <w:numId w:val="1"/>
        </w:numPr>
        <w:ind w:left="720" w:right="690.4724409448835" w:hanging="360"/>
        <w:jc w:val="both"/>
        <w:rPr/>
      </w:pPr>
      <w:r w:rsidDel="00000000" w:rsidR="00000000" w:rsidRPr="00000000">
        <w:rPr>
          <w:rtl w:val="0"/>
        </w:rPr>
        <w:t xml:space="preserve">Przestrzeganie tej klauzuli jest jednym z istotnych zobowiązań Umowy.</w:t>
      </w:r>
      <w:r w:rsidDel="00000000" w:rsidR="00000000" w:rsidRPr="00000000">
        <w:rPr>
          <w:rtl w:val="0"/>
        </w:rPr>
      </w:r>
    </w:p>
    <w:sectPr>
      <w:headerReference r:id="rId6" w:type="default"/>
      <w:footerReference r:id="rId7" w:type="default"/>
      <w:pgSz w:h="16838" w:w="11906" w:orient="portrait"/>
      <w:pgMar w:bottom="720.0000000000001" w:top="720.0000000000001" w:left="720.0000000000001" w:right="720.000000000000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spacing w:before="60" w:line="360" w:lineRule="auto"/>
      <w:jc w:val="both"/>
      <w:rPr>
        <w:sz w:val="20"/>
        <w:szCs w:val="20"/>
      </w:rPr>
    </w:pPr>
    <w:r w:rsidDel="00000000" w:rsidR="00000000" w:rsidRPr="00000000">
      <w:rPr>
        <w:rtl w:val="0"/>
      </w:rPr>
    </w:r>
  </w:p>
  <w:tbl>
    <w:tblPr>
      <w:tblStyle w:val="Table1"/>
      <w:tblW w:w="918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65"/>
      <w:gridCol w:w="3105"/>
      <w:gridCol w:w="2910"/>
      <w:tblGridChange w:id="0">
        <w:tblGrid>
          <w:gridCol w:w="3165"/>
          <w:gridCol w:w="3105"/>
          <w:gridCol w:w="2910"/>
        </w:tblGrid>
      </w:tblGridChange>
    </w:tblGrid>
    <w:tr>
      <w:trPr>
        <w:cantSplit w:val="0"/>
        <w:trHeight w:val="44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3.0" w:type="dxa"/>
            <w:left w:w="-13.0" w:type="dxa"/>
            <w:bottom w:w="-13.0" w:type="dxa"/>
            <w:right w:w="-13.0" w:type="dxa"/>
          </w:tcMar>
        </w:tcPr>
        <w:p w:rsidR="00000000" w:rsidDel="00000000" w:rsidP="00000000" w:rsidRDefault="00000000" w:rsidRPr="00000000" w14:paraId="0000000C">
          <w:pPr>
            <w:widowControl w:val="0"/>
            <w:spacing w:line="240" w:lineRule="auto"/>
            <w:ind w:left="-425" w:firstLine="0"/>
            <w:jc w:val="both"/>
            <w:rPr>
              <w:sz w:val="18"/>
              <w:szCs w:val="18"/>
            </w:rPr>
          </w:pPr>
          <w:r w:rsidDel="00000000" w:rsidR="00000000" w:rsidRPr="00000000">
            <w:rPr>
              <w:sz w:val="18"/>
              <w:szCs w:val="18"/>
              <w:rtl w:val="0"/>
            </w:rPr>
            <w:t xml:space="preserve">WHAWHAL-VLD-07xxx00-PRO-POL-0001</w:t>
          </w:r>
        </w:p>
      </w:tc>
      <w:tc>
        <w:tcPr>
          <w:tcBorders>
            <w:top w:color="ffffff" w:space="0" w:sz="8" w:val="single"/>
            <w:left w:color="ffffff" w:space="0" w:sz="8" w:val="single"/>
            <w:bottom w:color="ffffff" w:space="0" w:sz="8" w:val="single"/>
            <w:right w:color="ffffff" w:space="0" w:sz="8" w:val="single"/>
          </w:tcBorders>
          <w:shd w:fill="auto" w:val="clear"/>
          <w:tcMar>
            <w:top w:w="-13.0" w:type="dxa"/>
            <w:left w:w="-13.0" w:type="dxa"/>
            <w:bottom w:w="-13.0" w:type="dxa"/>
            <w:right w:w="-13.0" w:type="dxa"/>
          </w:tcMar>
        </w:tcPr>
        <w:p w:rsidR="00000000" w:rsidDel="00000000" w:rsidP="00000000" w:rsidRDefault="00000000" w:rsidRPr="00000000" w14:paraId="0000000D">
          <w:pPr>
            <w:widowControl w:val="0"/>
            <w:spacing w:line="240" w:lineRule="auto"/>
            <w:jc w:val="center"/>
            <w:rPr>
              <w:sz w:val="18"/>
              <w:szCs w:val="18"/>
            </w:rPr>
          </w:pPr>
          <w:r w:rsidDel="00000000" w:rsidR="00000000" w:rsidRPr="00000000">
            <w:rPr>
              <w:sz w:val="18"/>
              <w:szCs w:val="18"/>
              <w:rtl w:val="0"/>
            </w:rPr>
            <w:t xml:space="preserve">Rev: 1</w:t>
          </w:r>
        </w:p>
      </w:tc>
      <w:tc>
        <w:tcPr>
          <w:tcBorders>
            <w:top w:color="ffffff" w:space="0" w:sz="8" w:val="single"/>
            <w:left w:color="ffffff" w:space="0" w:sz="8" w:val="single"/>
            <w:bottom w:color="ffffff" w:space="0" w:sz="8" w:val="single"/>
            <w:right w:color="ffffff" w:space="0" w:sz="8" w:val="single"/>
          </w:tcBorders>
          <w:shd w:fill="auto" w:val="clear"/>
          <w:tcMar>
            <w:top w:w="-13.0" w:type="dxa"/>
            <w:left w:w="-13.0" w:type="dxa"/>
            <w:bottom w:w="-13.0" w:type="dxa"/>
            <w:right w:w="-13.0" w:type="dxa"/>
          </w:tcMar>
        </w:tcPr>
        <w:p w:rsidR="00000000" w:rsidDel="00000000" w:rsidP="00000000" w:rsidRDefault="00000000" w:rsidRPr="00000000" w14:paraId="0000000E">
          <w:pPr>
            <w:spacing w:before="60" w:line="360" w:lineRule="auto"/>
            <w:jc w:val="right"/>
            <w:rPr>
              <w:sz w:val="18"/>
              <w:szCs w:val="18"/>
            </w:rPr>
          </w:pPr>
          <w:r w:rsidDel="00000000" w:rsidR="00000000" w:rsidRPr="00000000">
            <w:rPr>
              <w:sz w:val="18"/>
              <w:szCs w:val="18"/>
              <w:rtl w:val="0"/>
            </w:rPr>
            <w:t xml:space="preserve">Strona </w:t>
          </w:r>
          <w:r w:rsidDel="00000000" w:rsidR="00000000" w:rsidRPr="00000000">
            <w:rPr>
              <w:sz w:val="18"/>
              <w:szCs w:val="18"/>
            </w:rPr>
            <w:fldChar w:fldCharType="begin"/>
            <w:instrText xml:space="preserve">PAGE</w:instrText>
            <w:fldChar w:fldCharType="separate"/>
            <w:fldChar w:fldCharType="end"/>
          </w:r>
          <w:r w:rsidDel="00000000" w:rsidR="00000000" w:rsidRPr="00000000">
            <w:rPr>
              <w:sz w:val="18"/>
              <w:szCs w:val="18"/>
              <w:rtl w:val="0"/>
            </w:rPr>
            <w:t xml:space="preserve">/</w:t>
          </w:r>
          <w:r w:rsidDel="00000000" w:rsidR="00000000" w:rsidRPr="00000000">
            <w:rPr>
              <w:sz w:val="18"/>
              <w:szCs w:val="18"/>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0F">
    <w:pPr>
      <w:spacing w:after="120" w:before="120" w:line="240"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widowControl w:val="0"/>
      <w:rPr/>
    </w:pPr>
    <w:r w:rsidDel="00000000" w:rsidR="00000000" w:rsidRPr="00000000">
      <w:rPr>
        <w:sz w:val="20"/>
        <w:szCs w:val="20"/>
      </w:rPr>
      <w:drawing>
        <wp:inline distB="114300" distT="114300" distL="114300" distR="114300">
          <wp:extent cx="5731200" cy="5461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5461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