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802" w:rsidRDefault="00283407">
      <w:pPr>
        <w:tabs>
          <w:tab w:val="center" w:pos="4535"/>
          <w:tab w:val="left" w:pos="7950"/>
        </w:tabs>
        <w:jc w:val="left"/>
        <w:rPr>
          <w:b/>
          <w:smallCaps/>
        </w:rPr>
      </w:pPr>
      <w:r>
        <w:rPr>
          <w:noProof/>
          <w:sz w:val="20"/>
          <w:szCs w:val="20"/>
        </w:rPr>
        <w:drawing>
          <wp:inline distT="114300" distB="114300" distL="114300" distR="114300">
            <wp:extent cx="5731200" cy="5461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4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1802" w:rsidRDefault="00791802">
      <w:pPr>
        <w:ind w:right="-2"/>
        <w:jc w:val="center"/>
        <w:rPr>
          <w:b/>
          <w:smallCaps/>
        </w:rPr>
      </w:pPr>
    </w:p>
    <w:p w:rsidR="00791802" w:rsidRDefault="00791802">
      <w:pPr>
        <w:ind w:right="-2"/>
        <w:jc w:val="center"/>
        <w:rPr>
          <w:b/>
          <w:smallCaps/>
        </w:rPr>
      </w:pPr>
    </w:p>
    <w:p w:rsidR="00791802" w:rsidRDefault="00791802">
      <w:pPr>
        <w:ind w:right="-2"/>
        <w:jc w:val="center"/>
        <w:rPr>
          <w:b/>
          <w:smallCaps/>
        </w:rPr>
      </w:pPr>
    </w:p>
    <w:p w:rsidR="00791802" w:rsidRDefault="00283407">
      <w:pPr>
        <w:ind w:right="-2"/>
        <w:jc w:val="center"/>
        <w:rPr>
          <w:b/>
          <w:smallCaps/>
        </w:rPr>
      </w:pPr>
      <w:r>
        <w:rPr>
          <w:b/>
          <w:smallCaps/>
        </w:rPr>
        <w:t>PRZEDSIĘWZIĘCIE INWESTYCYJNE:</w:t>
      </w:r>
    </w:p>
    <w:p w:rsidR="00791802" w:rsidRDefault="00791802">
      <w:pPr>
        <w:ind w:right="-2"/>
        <w:jc w:val="center"/>
        <w:rPr>
          <w:b/>
          <w:smallCaps/>
        </w:rPr>
      </w:pPr>
      <w:bookmarkStart w:id="0" w:name="_6mt8s6cju3zz" w:colFirst="0" w:colLast="0"/>
      <w:bookmarkEnd w:id="0"/>
    </w:p>
    <w:p w:rsidR="00791802" w:rsidRDefault="00283407">
      <w:pPr>
        <w:ind w:right="-2"/>
        <w:jc w:val="center"/>
        <w:rPr>
          <w:b/>
          <w:smallCaps/>
          <w:sz w:val="26"/>
          <w:szCs w:val="26"/>
        </w:rPr>
      </w:pPr>
      <w:bookmarkStart w:id="1" w:name="_k1u3z89z9ndt" w:colFirst="0" w:colLast="0"/>
      <w:bookmarkEnd w:id="1"/>
      <w:r>
        <w:rPr>
          <w:b/>
          <w:smallCaps/>
          <w:sz w:val="26"/>
          <w:szCs w:val="26"/>
        </w:rPr>
        <w:t xml:space="preserve">“Budowa kotła </w:t>
      </w:r>
      <w:proofErr w:type="spellStart"/>
      <w:r>
        <w:rPr>
          <w:b/>
          <w:smallCaps/>
          <w:sz w:val="26"/>
          <w:szCs w:val="26"/>
        </w:rPr>
        <w:t>biomasowego</w:t>
      </w:r>
      <w:proofErr w:type="spellEnd"/>
      <w:r>
        <w:rPr>
          <w:b/>
          <w:smallCaps/>
          <w:sz w:val="26"/>
          <w:szCs w:val="26"/>
        </w:rPr>
        <w:t xml:space="preserve"> w ramach ciepłowni w Świeciu”</w:t>
      </w:r>
    </w:p>
    <w:p w:rsidR="00791802" w:rsidRDefault="00791802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b/>
        </w:rPr>
      </w:pPr>
      <w:bookmarkStart w:id="2" w:name="_77z7z47xptxr" w:colFirst="0" w:colLast="0"/>
      <w:bookmarkEnd w:id="2"/>
    </w:p>
    <w:p w:rsidR="00791802" w:rsidRDefault="00791802">
      <w:pPr>
        <w:ind w:right="-2"/>
        <w:jc w:val="center"/>
        <w:rPr>
          <w:b/>
        </w:rPr>
      </w:pPr>
    </w:p>
    <w:p w:rsidR="00791802" w:rsidRDefault="00791802">
      <w:pPr>
        <w:ind w:right="-2"/>
        <w:jc w:val="center"/>
        <w:rPr>
          <w:b/>
        </w:rPr>
      </w:pPr>
    </w:p>
    <w:p w:rsidR="00791802" w:rsidRDefault="00791802">
      <w:pPr>
        <w:ind w:right="-2"/>
        <w:jc w:val="center"/>
        <w:rPr>
          <w:b/>
        </w:rPr>
      </w:pPr>
    </w:p>
    <w:p w:rsidR="00791802" w:rsidRDefault="00283407">
      <w:pPr>
        <w:ind w:right="-2"/>
        <w:jc w:val="center"/>
        <w:rPr>
          <w:b/>
        </w:rPr>
      </w:pPr>
      <w:r>
        <w:rPr>
          <w:b/>
        </w:rPr>
        <w:t>NUMER POSTĘPOWA</w:t>
      </w:r>
      <w:r>
        <w:rPr>
          <w:b/>
        </w:rPr>
        <w:t>NIA: 2025/0069/P/P</w:t>
      </w:r>
    </w:p>
    <w:p w:rsidR="00791802" w:rsidRDefault="00791802">
      <w:pPr>
        <w:ind w:right="-2"/>
        <w:jc w:val="center"/>
        <w:rPr>
          <w:b/>
          <w:smallCaps/>
        </w:rPr>
      </w:pPr>
    </w:p>
    <w:p w:rsidR="00791802" w:rsidRDefault="00791802">
      <w:pPr>
        <w:ind w:right="-2"/>
        <w:jc w:val="center"/>
        <w:rPr>
          <w:b/>
          <w:smallCaps/>
        </w:rPr>
      </w:pPr>
    </w:p>
    <w:p w:rsidR="00791802" w:rsidRDefault="00791802">
      <w:pPr>
        <w:ind w:right="-2"/>
        <w:rPr>
          <w:b/>
        </w:rPr>
      </w:pPr>
      <w:bookmarkStart w:id="3" w:name="_5mrjox8w9u3j" w:colFirst="0" w:colLast="0"/>
      <w:bookmarkEnd w:id="3"/>
    </w:p>
    <w:p w:rsidR="00791802" w:rsidRDefault="00283407">
      <w:pPr>
        <w:ind w:right="-2"/>
        <w:jc w:val="center"/>
        <w:rPr>
          <w:b/>
        </w:rPr>
      </w:pPr>
      <w:r>
        <w:rPr>
          <w:b/>
        </w:rPr>
        <w:t>SPECYFIKACJA WARUNKÓW ZAMÓWIENIA (SWZ):</w:t>
      </w:r>
    </w:p>
    <w:p w:rsidR="00791802" w:rsidRDefault="00791802">
      <w:pPr>
        <w:ind w:right="-2"/>
        <w:jc w:val="center"/>
        <w:rPr>
          <w:b/>
        </w:rPr>
      </w:pPr>
    </w:p>
    <w:p w:rsidR="00791802" w:rsidRDefault="00283407">
      <w:pPr>
        <w:ind w:right="-2"/>
        <w:jc w:val="center"/>
        <w:rPr>
          <w:b/>
        </w:rPr>
      </w:pPr>
      <w:bookmarkStart w:id="4" w:name="_dr0907nwrczh" w:colFirst="0" w:colLast="0"/>
      <w:bookmarkEnd w:id="4"/>
      <w:r>
        <w:rPr>
          <w:b/>
        </w:rPr>
        <w:t>CZĘŚĆ I SWZ – INSTRUKCJA DLA WYKONAWCÓW (IDW)</w:t>
      </w:r>
    </w:p>
    <w:p w:rsidR="00791802" w:rsidRDefault="00283407">
      <w:pPr>
        <w:ind w:right="-2"/>
        <w:jc w:val="center"/>
      </w:pPr>
      <w:bookmarkStart w:id="5" w:name="_5znel86vj6wt" w:colFirst="0" w:colLast="0"/>
      <w:bookmarkEnd w:id="5"/>
      <w:r>
        <w:t xml:space="preserve">CZĘŚĆ II SWZ – OPIS PRZEDMIOTU ZAMÓWIENIA </w:t>
      </w:r>
    </w:p>
    <w:p w:rsidR="00791802" w:rsidRDefault="00283407">
      <w:pPr>
        <w:ind w:right="-2"/>
        <w:jc w:val="center"/>
      </w:pPr>
      <w:r>
        <w:t xml:space="preserve">CZĘŚĆ III SWZ – WZÓR UMOWY </w:t>
      </w:r>
    </w:p>
    <w:p w:rsidR="00791802" w:rsidRDefault="00791802">
      <w:pPr>
        <w:ind w:right="-2"/>
        <w:jc w:val="center"/>
      </w:pPr>
    </w:p>
    <w:p w:rsidR="00791802" w:rsidRDefault="00283407">
      <w:pPr>
        <w:spacing w:before="0" w:after="0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Zamówienie objęte postępowaniem dotyczy projektu "Budowa kotła </w:t>
      </w:r>
      <w:proofErr w:type="spellStart"/>
      <w:r>
        <w:rPr>
          <w:sz w:val="22"/>
          <w:szCs w:val="22"/>
          <w:highlight w:val="white"/>
        </w:rPr>
        <w:t>biomasowego</w:t>
      </w:r>
      <w:proofErr w:type="spellEnd"/>
      <w:r>
        <w:rPr>
          <w:sz w:val="22"/>
          <w:szCs w:val="22"/>
          <w:highlight w:val="white"/>
        </w:rPr>
        <w:t xml:space="preserve"> w ramach ciepłowni w Świeciu" nr FEKP.02.04-IZ.00-0001/24. </w:t>
      </w:r>
      <w:r>
        <w:rPr>
          <w:sz w:val="22"/>
          <w:szCs w:val="22"/>
          <w:highlight w:val="white"/>
        </w:rPr>
        <w:t>Współfinansowanie projektu z Europejskiego Funduszu Rozwoju Regionalnego w realizowanego w ramach  programu Fundusze Europejskie dla Kujaw i Pomorza 2021-2027.</w:t>
      </w:r>
    </w:p>
    <w:p w:rsidR="00791802" w:rsidRDefault="00283407">
      <w:pPr>
        <w:spacing w:before="0" w:after="0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Priorytet 2. Fundusze Europejskie dla czystej energii i ochrony zasobów środowiska regionu</w:t>
      </w:r>
    </w:p>
    <w:p w:rsidR="00791802" w:rsidRDefault="00283407">
      <w:pPr>
        <w:spacing w:before="0" w:after="0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Dział</w:t>
      </w:r>
      <w:r>
        <w:rPr>
          <w:sz w:val="22"/>
          <w:szCs w:val="22"/>
          <w:highlight w:val="white"/>
        </w:rPr>
        <w:t>anie 2.4 Ciepłownie, sieci ciepłownicze i efektywność energetyczna budynków zabytkowych</w:t>
      </w:r>
    </w:p>
    <w:p w:rsidR="00791802" w:rsidRDefault="00283407">
      <w:pPr>
        <w:spacing w:before="0" w:after="0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Cel szczegółowy 2 (i.) Wspieranie efektywności energetycznej i redukcji emisji gazów cieplarnianych </w:t>
      </w:r>
    </w:p>
    <w:p w:rsidR="00791802" w:rsidRDefault="00791802">
      <w:pPr>
        <w:jc w:val="center"/>
        <w:rPr>
          <w:b/>
          <w:smallCaps/>
          <w:highlight w:val="white"/>
        </w:rPr>
      </w:pPr>
    </w:p>
    <w:p w:rsidR="00791802" w:rsidRDefault="00791802">
      <w:pPr>
        <w:jc w:val="center"/>
        <w:rPr>
          <w:b/>
          <w:smallCaps/>
          <w:highlight w:val="white"/>
        </w:rPr>
      </w:pPr>
    </w:p>
    <w:p w:rsidR="00791802" w:rsidRDefault="00791802">
      <w:pPr>
        <w:jc w:val="center"/>
        <w:rPr>
          <w:b/>
          <w:smallCaps/>
          <w:highlight w:val="white"/>
        </w:rPr>
      </w:pPr>
    </w:p>
    <w:p w:rsidR="00791802" w:rsidRDefault="00791802">
      <w:pPr>
        <w:jc w:val="center"/>
        <w:rPr>
          <w:b/>
          <w:smallCaps/>
          <w:highlight w:val="white"/>
        </w:rPr>
      </w:pPr>
    </w:p>
    <w:p w:rsidR="00791802" w:rsidRDefault="00791802">
      <w:pPr>
        <w:jc w:val="center"/>
      </w:pPr>
    </w:p>
    <w:p w:rsidR="00791802" w:rsidRDefault="00283407">
      <w:pPr>
        <w:jc w:val="center"/>
      </w:pPr>
      <w:r w:rsidRPr="00072F61">
        <w:t>Łódź,</w:t>
      </w:r>
      <w:r w:rsidRPr="00072F61">
        <w:t xml:space="preserve"> </w:t>
      </w:r>
      <w:r w:rsidR="00072F61" w:rsidRPr="00072F61">
        <w:t>17</w:t>
      </w:r>
      <w:r w:rsidRPr="00072F61">
        <w:t>.</w:t>
      </w:r>
      <w:r w:rsidRPr="00072F61">
        <w:t>0</w:t>
      </w:r>
      <w:r w:rsidRPr="00072F61">
        <w:t>6</w:t>
      </w:r>
      <w:r>
        <w:t>.2025</w:t>
      </w:r>
    </w:p>
    <w:p w:rsidR="00791802" w:rsidRDefault="00283407">
      <w:pPr>
        <w:tabs>
          <w:tab w:val="left" w:pos="1830"/>
        </w:tabs>
      </w:pPr>
      <w:bookmarkStart w:id="6" w:name="_os9jpqwq9pda" w:colFirst="0" w:colLast="0"/>
      <w:bookmarkEnd w:id="6"/>
      <w:r>
        <w:lastRenderedPageBreak/>
        <w:tab/>
      </w:r>
    </w:p>
    <w:p w:rsidR="00791802" w:rsidRDefault="00283407">
      <w:pPr>
        <w:tabs>
          <w:tab w:val="left" w:pos="6405"/>
        </w:tabs>
      </w:pPr>
      <w:r>
        <w:tab/>
      </w:r>
    </w:p>
    <w:p w:rsidR="00791802" w:rsidRDefault="00791802"/>
    <w:p w:rsidR="00791802" w:rsidRDefault="00791802"/>
    <w:p w:rsidR="00791802" w:rsidRDefault="00791802"/>
    <w:p w:rsidR="00791802" w:rsidRDefault="00791802"/>
    <w:p w:rsidR="00791802" w:rsidRDefault="00791802">
      <w:pPr>
        <w:jc w:val="center"/>
        <w:rPr>
          <w:b/>
        </w:rPr>
      </w:pPr>
    </w:p>
    <w:p w:rsidR="00791802" w:rsidRDefault="00283407">
      <w:pPr>
        <w:jc w:val="center"/>
        <w:rPr>
          <w:b/>
        </w:rPr>
      </w:pPr>
      <w:r>
        <w:rPr>
          <w:b/>
        </w:rPr>
        <w:t>CZĘŚĆ I SWZ - INSTRUKCJA DLA WYKONAW</w:t>
      </w:r>
      <w:r>
        <w:rPr>
          <w:b/>
        </w:rPr>
        <w:t>CÓW (IDW)</w:t>
      </w: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791802">
      <w:pPr>
        <w:jc w:val="center"/>
        <w:rPr>
          <w:b/>
        </w:rPr>
      </w:pPr>
    </w:p>
    <w:p w:rsidR="00791802" w:rsidRDefault="00283407">
      <w:pPr>
        <w:jc w:val="center"/>
        <w:rPr>
          <w:b/>
        </w:rPr>
      </w:pPr>
      <w:r>
        <w:br w:type="page"/>
      </w:r>
    </w:p>
    <w:p w:rsidR="00791802" w:rsidRDefault="0028340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jc w:val="center"/>
        <w:rPr>
          <w:b/>
          <w:color w:val="365F91"/>
          <w:sz w:val="28"/>
          <w:szCs w:val="28"/>
        </w:rPr>
      </w:pPr>
      <w:r>
        <w:rPr>
          <w:b/>
          <w:color w:val="365F91"/>
          <w:sz w:val="28"/>
          <w:szCs w:val="28"/>
        </w:rPr>
        <w:lastRenderedPageBreak/>
        <w:t>Spis treści</w:t>
      </w:r>
    </w:p>
    <w:sdt>
      <w:sdtPr>
        <w:id w:val="1712973079"/>
        <w:docPartObj>
          <w:docPartGallery w:val="Table of Contents"/>
          <w:docPartUnique/>
        </w:docPartObj>
      </w:sdtPr>
      <w:sdtEndPr/>
      <w:sdtContent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kio5xbesnplw">
            <w:r>
              <w:rPr>
                <w:b/>
                <w:color w:val="000000"/>
                <w:sz w:val="22"/>
                <w:szCs w:val="22"/>
              </w:rPr>
              <w:t>I. Informacje o Zamawiającym</w:t>
            </w:r>
            <w:r>
              <w:rPr>
                <w:b/>
                <w:color w:val="000000"/>
                <w:sz w:val="22"/>
                <w:szCs w:val="22"/>
              </w:rPr>
              <w:tab/>
              <w:t>5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69xlm38sp3iv">
            <w:r>
              <w:rPr>
                <w:b/>
                <w:color w:val="000000"/>
                <w:sz w:val="22"/>
                <w:szCs w:val="22"/>
              </w:rPr>
              <w:t>II. Tryb udzielenia Zamówienia</w:t>
            </w:r>
            <w:r>
              <w:rPr>
                <w:b/>
                <w:color w:val="000000"/>
                <w:sz w:val="22"/>
                <w:szCs w:val="22"/>
              </w:rPr>
              <w:tab/>
              <w:t>5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vxolhptmvifp">
            <w:r>
              <w:rPr>
                <w:b/>
                <w:color w:val="000000"/>
                <w:sz w:val="22"/>
                <w:szCs w:val="22"/>
              </w:rPr>
              <w:t>III. Sposób komunikacji w Postępowaniu</w:t>
            </w:r>
            <w:r>
              <w:rPr>
                <w:b/>
                <w:color w:val="000000"/>
                <w:sz w:val="22"/>
                <w:szCs w:val="22"/>
              </w:rPr>
              <w:tab/>
              <w:t>6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v3ex6nmufdf4">
            <w:r>
              <w:rPr>
                <w:b/>
                <w:color w:val="000000"/>
                <w:sz w:val="22"/>
                <w:szCs w:val="22"/>
              </w:rPr>
              <w:t>IV. Przedmiot Zamówienia</w:t>
            </w:r>
            <w:r>
              <w:rPr>
                <w:b/>
                <w:color w:val="000000"/>
                <w:sz w:val="22"/>
                <w:szCs w:val="22"/>
              </w:rPr>
              <w:tab/>
              <w:t>7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mre8gqhikmpi">
            <w:r>
              <w:rPr>
                <w:b/>
                <w:color w:val="000000"/>
                <w:sz w:val="22"/>
                <w:szCs w:val="22"/>
              </w:rPr>
              <w:t>V. Wyjaśnienie i zmiana treści SWZ, wizja lokalna</w:t>
            </w:r>
            <w:r>
              <w:rPr>
                <w:b/>
                <w:color w:val="000000"/>
                <w:sz w:val="22"/>
                <w:szCs w:val="22"/>
              </w:rPr>
              <w:tab/>
              <w:t>9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xlzg33amh2sq">
            <w:r>
              <w:rPr>
                <w:b/>
                <w:color w:val="000000"/>
                <w:sz w:val="22"/>
                <w:szCs w:val="22"/>
              </w:rPr>
              <w:t>VI. Przesłanki wykluczenia i warunki udziału w Postępowaniu</w:t>
            </w:r>
            <w:r>
              <w:rPr>
                <w:b/>
                <w:color w:val="000000"/>
                <w:sz w:val="22"/>
                <w:szCs w:val="22"/>
              </w:rPr>
              <w:tab/>
              <w:t>10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r26iedcmdb0d">
            <w:r>
              <w:rPr>
                <w:b/>
                <w:color w:val="000000"/>
                <w:sz w:val="22"/>
                <w:szCs w:val="22"/>
              </w:rPr>
              <w:t>VII. Warunki realizacji Zamówienia</w:t>
            </w:r>
            <w:r>
              <w:rPr>
                <w:b/>
                <w:color w:val="000000"/>
                <w:sz w:val="22"/>
                <w:szCs w:val="22"/>
              </w:rPr>
              <w:tab/>
              <w:t>16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fp9riqoikbw6">
            <w:r>
              <w:rPr>
                <w:b/>
                <w:color w:val="000000"/>
                <w:sz w:val="22"/>
                <w:szCs w:val="22"/>
              </w:rPr>
              <w:t>VIII. Opis sposobu przygotowania i składania ofert</w:t>
            </w:r>
            <w:r>
              <w:rPr>
                <w:b/>
                <w:color w:val="000000"/>
                <w:sz w:val="22"/>
                <w:szCs w:val="22"/>
              </w:rPr>
              <w:tab/>
              <w:t>16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dgu39lo5lui0">
            <w:r>
              <w:rPr>
                <w:b/>
                <w:color w:val="000000"/>
                <w:sz w:val="22"/>
                <w:szCs w:val="22"/>
              </w:rPr>
              <w:t>IX. Termin związania ofertą</w:t>
            </w:r>
            <w:r>
              <w:rPr>
                <w:b/>
                <w:color w:val="000000"/>
                <w:sz w:val="22"/>
                <w:szCs w:val="22"/>
              </w:rPr>
              <w:tab/>
              <w:t>21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ry56xyud1vnu">
            <w:r>
              <w:rPr>
                <w:b/>
                <w:color w:val="000000"/>
                <w:sz w:val="22"/>
                <w:szCs w:val="22"/>
              </w:rPr>
              <w:t>X. Wykonawcy wspólnie ubiegający się o udzielenie Zamówienia</w:t>
            </w:r>
            <w:r>
              <w:rPr>
                <w:b/>
                <w:color w:val="000000"/>
                <w:sz w:val="22"/>
                <w:szCs w:val="22"/>
              </w:rPr>
              <w:tab/>
              <w:t>22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r6jfab9xf92c">
            <w:r>
              <w:rPr>
                <w:b/>
                <w:color w:val="000000"/>
                <w:sz w:val="22"/>
                <w:szCs w:val="22"/>
              </w:rPr>
              <w:t>XI. Ocena spełniania warunków w Postępowaniu i niepodlegania wykluczeniu</w:t>
            </w:r>
            <w:r>
              <w:rPr>
                <w:b/>
                <w:color w:val="000000"/>
                <w:sz w:val="22"/>
                <w:szCs w:val="22"/>
              </w:rPr>
              <w:tab/>
              <w:t>22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fujgrkm8kcim">
            <w:r>
              <w:rPr>
                <w:b/>
                <w:color w:val="000000"/>
                <w:sz w:val="22"/>
                <w:szCs w:val="22"/>
              </w:rPr>
              <w:t>XII. Wybór najkorzystniejszej oferty</w:t>
            </w:r>
            <w:r>
              <w:rPr>
                <w:b/>
                <w:color w:val="000000"/>
                <w:sz w:val="22"/>
                <w:szCs w:val="22"/>
              </w:rPr>
              <w:tab/>
              <w:t>23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ggsn8oy8pj2k">
            <w:r>
              <w:rPr>
                <w:b/>
                <w:color w:val="000000"/>
                <w:sz w:val="22"/>
                <w:szCs w:val="22"/>
              </w:rPr>
              <w:t>XIII. Opis sposobu obliczenia ceny</w:t>
            </w:r>
            <w:r>
              <w:rPr>
                <w:b/>
                <w:color w:val="000000"/>
                <w:sz w:val="22"/>
                <w:szCs w:val="22"/>
              </w:rPr>
              <w:tab/>
              <w:t>26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zw4feb7h2gs">
            <w:r>
              <w:rPr>
                <w:b/>
                <w:color w:val="000000"/>
                <w:sz w:val="22"/>
                <w:szCs w:val="22"/>
              </w:rPr>
              <w:t>XIV. Wymagania dotyczące wadium</w:t>
            </w:r>
            <w:r>
              <w:rPr>
                <w:b/>
                <w:color w:val="000000"/>
                <w:sz w:val="22"/>
                <w:szCs w:val="22"/>
              </w:rPr>
              <w:tab/>
              <w:t>27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jh8l3uyk5ijg">
            <w:r>
              <w:rPr>
                <w:b/>
                <w:color w:val="000000"/>
                <w:sz w:val="22"/>
                <w:szCs w:val="22"/>
              </w:rPr>
              <w:t>XV. Wymagania dotyczące zabezpieczenia należytego wykonania umowy</w:t>
            </w:r>
            <w:r>
              <w:rPr>
                <w:b/>
                <w:color w:val="000000"/>
                <w:sz w:val="22"/>
                <w:szCs w:val="22"/>
              </w:rPr>
              <w:tab/>
              <w:t>29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a5z09sps077q">
            <w:r>
              <w:rPr>
                <w:b/>
                <w:color w:val="000000"/>
                <w:sz w:val="22"/>
                <w:szCs w:val="22"/>
              </w:rPr>
              <w:t>XVI. Podwykonawstwo</w:t>
            </w:r>
            <w:r>
              <w:rPr>
                <w:b/>
                <w:color w:val="000000"/>
                <w:sz w:val="22"/>
                <w:szCs w:val="22"/>
              </w:rPr>
              <w:tab/>
              <w:t>31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roxaz6xah1zj">
            <w:r>
              <w:rPr>
                <w:b/>
                <w:color w:val="000000"/>
                <w:sz w:val="22"/>
                <w:szCs w:val="22"/>
              </w:rPr>
              <w:t>XVII. Czynności przed podpisaniem umowy</w:t>
            </w:r>
            <w:r>
              <w:rPr>
                <w:b/>
                <w:color w:val="000000"/>
                <w:sz w:val="22"/>
                <w:szCs w:val="22"/>
              </w:rPr>
              <w:tab/>
              <w:t>31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qkp5k1tb8x9h">
            <w:r>
              <w:rPr>
                <w:b/>
                <w:color w:val="000000"/>
                <w:sz w:val="22"/>
                <w:szCs w:val="22"/>
              </w:rPr>
              <w:t>XVIII. Pozost</w:t>
            </w:r>
            <w:r>
              <w:rPr>
                <w:b/>
                <w:color w:val="000000"/>
                <w:sz w:val="22"/>
                <w:szCs w:val="22"/>
              </w:rPr>
              <w:t>ałe informacje</w:t>
            </w:r>
            <w:r>
              <w:rPr>
                <w:b/>
                <w:color w:val="000000"/>
                <w:sz w:val="22"/>
                <w:szCs w:val="22"/>
              </w:rPr>
              <w:tab/>
              <w:t>32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8lip4j3jks63">
            <w:r>
              <w:rPr>
                <w:b/>
                <w:color w:val="000000"/>
                <w:sz w:val="22"/>
                <w:szCs w:val="22"/>
              </w:rPr>
              <w:t>XIX. Postanowienia dotyczące RODO</w:t>
            </w:r>
            <w:r>
              <w:rPr>
                <w:b/>
                <w:color w:val="000000"/>
                <w:sz w:val="22"/>
                <w:szCs w:val="22"/>
              </w:rPr>
              <w:tab/>
              <w:t>33</w:t>
            </w:r>
          </w:hyperlink>
        </w:p>
        <w:p w:rsidR="00791802" w:rsidRDefault="00283407">
          <w:pPr>
            <w:widowControl w:val="0"/>
            <w:tabs>
              <w:tab w:val="right" w:pos="12000"/>
            </w:tabs>
            <w:spacing w:before="60" w:after="0"/>
            <w:jc w:val="left"/>
            <w:rPr>
              <w:b/>
              <w:color w:val="000000"/>
              <w:sz w:val="22"/>
              <w:szCs w:val="22"/>
            </w:rPr>
          </w:pPr>
          <w:hyperlink w:anchor="_1k7mpmcuevn7">
            <w:r>
              <w:rPr>
                <w:b/>
                <w:color w:val="000000"/>
                <w:sz w:val="22"/>
                <w:szCs w:val="22"/>
              </w:rPr>
              <w:t>XX. Wykaz załączników do Części I SWZ – Instrukcja dla Wykonawców (IDW)</w:t>
            </w:r>
            <w:r>
              <w:rPr>
                <w:b/>
                <w:color w:val="000000"/>
                <w:sz w:val="22"/>
                <w:szCs w:val="22"/>
              </w:rPr>
              <w:tab/>
              <w:t>36</w:t>
            </w:r>
          </w:hyperlink>
          <w:r>
            <w:fldChar w:fldCharType="end"/>
          </w:r>
        </w:p>
      </w:sdtContent>
    </w:sdt>
    <w:p w:rsidR="00791802" w:rsidRDefault="00283407">
      <w:pPr>
        <w:rPr>
          <w:b/>
          <w:i/>
          <w:color w:val="000000"/>
        </w:rPr>
      </w:pPr>
      <w:bookmarkStart w:id="7" w:name="_qyf3b8xrti20" w:colFirst="0" w:colLast="0"/>
      <w:bookmarkEnd w:id="7"/>
      <w:r>
        <w:br w:type="page"/>
      </w:r>
    </w:p>
    <w:p w:rsidR="00791802" w:rsidRDefault="00283407">
      <w:pPr>
        <w:jc w:val="center"/>
        <w:rPr>
          <w:i/>
          <w:color w:val="000000"/>
          <w:highlight w:val="white"/>
        </w:rPr>
      </w:pPr>
      <w:r>
        <w:rPr>
          <w:b/>
          <w:i/>
          <w:color w:val="000000"/>
        </w:rPr>
        <w:lastRenderedPageBreak/>
        <w:t>KLAUZULA INFORMACYJNA RODO DLA WYKONAWCÓW: OSÓB</w:t>
      </w:r>
      <w:r>
        <w:rPr>
          <w:b/>
          <w:i/>
          <w:color w:val="000000"/>
        </w:rPr>
        <w:t xml:space="preserve"> REPREZENTUJĄCYCH SPÓŁKI PRAWA HANDLOWEGO, OSÓB FIZYCZNYCH PROWADZĄCYCH DZIAŁALNOŚĆ GOSPODARCZĄ, PEŁNOMOCNIKÓW I PRZEDSTAWICIELI WYKONAWCY</w:t>
      </w:r>
    </w:p>
    <w:p w:rsidR="00791802" w:rsidRDefault="00283407">
      <w:pPr>
        <w:rPr>
          <w:b/>
        </w:rPr>
      </w:pPr>
      <w:r>
        <w:rPr>
          <w:i/>
          <w:color w:val="000000"/>
        </w:rPr>
        <w:t>Zgodnie z art. 13 ust. 1 i 2 rozporządzenia Parlamentu Europejskiego i Rady (UE) 2016/679 z dnia 27.04.2016 r. w spra</w:t>
      </w:r>
      <w:r>
        <w:rPr>
          <w:i/>
          <w:color w:val="000000"/>
        </w:rPr>
        <w:t>wie ochrony osób fizycznych w związku z przetwarzaniem danych osobowych i w sprawie swobodnego przepływu takich danych oraz uchylenia dyrektywy 95/46/WE (Dz. Urz. UE L 119 z 4.5.2016, str. 1), (dalej „</w:t>
      </w:r>
      <w:r>
        <w:rPr>
          <w:b/>
          <w:i/>
          <w:color w:val="000000"/>
        </w:rPr>
        <w:t>RODO</w:t>
      </w:r>
      <w:r>
        <w:rPr>
          <w:i/>
          <w:color w:val="000000"/>
        </w:rPr>
        <w:t xml:space="preserve">”), informuję, że: </w:t>
      </w:r>
      <w:proofErr w:type="spellStart"/>
      <w:r>
        <w:rPr>
          <w:i/>
        </w:rPr>
        <w:t>współadministratorami</w:t>
      </w:r>
      <w:proofErr w:type="spellEnd"/>
      <w:r>
        <w:rPr>
          <w:i/>
          <w:color w:val="000000"/>
        </w:rPr>
        <w:t xml:space="preserve"> Pani/Pana </w:t>
      </w:r>
      <w:r>
        <w:rPr>
          <w:i/>
          <w:color w:val="000000"/>
        </w:rPr>
        <w:t>danych osobowych jes</w:t>
      </w:r>
      <w:r>
        <w:rPr>
          <w:i/>
        </w:rPr>
        <w:t xml:space="preserve">t </w:t>
      </w:r>
      <w:proofErr w:type="spellStart"/>
      <w:r>
        <w:rPr>
          <w:i/>
        </w:rPr>
        <w:t>Veolia</w:t>
      </w:r>
      <w:proofErr w:type="spellEnd"/>
      <w:r>
        <w:rPr>
          <w:i/>
        </w:rPr>
        <w:t xml:space="preserve"> Północ Sp. z o.o. z siedzibą w Świeciu, ul. Ciepła 9, 86-105 Świecie </w:t>
      </w:r>
      <w:r>
        <w:rPr>
          <w:i/>
          <w:color w:val="000000"/>
        </w:rPr>
        <w:t xml:space="preserve">oraz pozostałe spółki z Grupy </w:t>
      </w:r>
      <w:proofErr w:type="spellStart"/>
      <w:r>
        <w:rPr>
          <w:i/>
          <w:color w:val="000000"/>
        </w:rPr>
        <w:t>Veolia</w:t>
      </w:r>
      <w:proofErr w:type="spellEnd"/>
      <w:r>
        <w:rPr>
          <w:i/>
        </w:rPr>
        <w:t>.</w:t>
      </w:r>
      <w:r>
        <w:rPr>
          <w:i/>
          <w:color w:val="000000"/>
        </w:rPr>
        <w:t xml:space="preserve"> wyznaczyła inspektora ochrony danych osobowych, kontakt: </w:t>
      </w:r>
      <w:hyperlink r:id="rId8">
        <w:r>
          <w:rPr>
            <w:i/>
            <w:color w:val="1155CC"/>
            <w:u w:val="single"/>
          </w:rPr>
          <w:t>inspektor.pl.vpol@veolia.com</w:t>
        </w:r>
      </w:hyperlink>
      <w:r>
        <w:rPr>
          <w:i/>
          <w:color w:val="000000"/>
        </w:rPr>
        <w:t xml:space="preserve">; Pani/Pana dane osobowe przetwarzane będą na podstawie art. 6 ust. 1 lit. b), c) i f) RODO w celu związanym z postępowaniem o udzielenie przedmiotowego zamówienia; odbiorcami Pani/Pana danych osobowych będą osoby lub podmioty, </w:t>
      </w:r>
      <w:r>
        <w:rPr>
          <w:i/>
          <w:color w:val="000000"/>
        </w:rPr>
        <w:t>którym udostępniona zostanie dokumentacja postępowania oraz spółka; w odniesieniu do Pani/Pana danych osobowych decyzje nie będą podejmowane w sposób zautomatyzowany, stosowanie do art. 22 RODO; Posiada Pani/Pan: na podstawie art.15 RODO prawo dostępu do d</w:t>
      </w:r>
      <w:r>
        <w:rPr>
          <w:i/>
          <w:color w:val="000000"/>
        </w:rPr>
        <w:t>anych osobowych Pani/Pana dotyczących; na podstawie art. 16 RODO prawo do sprostowania Pani/Pana danych osobowych; na podstawie art. 18 RODO prawo żądania od administratora ograniczenia przetwarzania danych osobowych z zastrzeżeniem przypadków, o których m</w:t>
      </w:r>
      <w:r>
        <w:rPr>
          <w:i/>
          <w:color w:val="000000"/>
        </w:rPr>
        <w:t>owa w art. 18 ust. 2 RODO, na podstawie art. 21 ust. 1 RODO prawo do złożenia sprzeciwu; prawo do wniesienia skargi do Prezesa Urzędu Ochrony Danych Osobowych, gdy uzna Pani/Pan, że przetwarzanie danych osobowych Pani/Pana dotyczących narusza przepisy RODO</w:t>
      </w:r>
      <w:r>
        <w:rPr>
          <w:i/>
          <w:color w:val="000000"/>
        </w:rPr>
        <w:t>; Nie przysługuje Pani/Panu: w związku z art. 17 ust. 3 lit. b), d</w:t>
      </w:r>
      <w:r>
        <w:rPr>
          <w:i/>
        </w:rPr>
        <w:t>)</w:t>
      </w:r>
      <w:r>
        <w:rPr>
          <w:i/>
          <w:color w:val="000000"/>
        </w:rPr>
        <w:t xml:space="preserve"> lub e) RODO prawo do usunięcia danych osobowych; prawo do przenoszenia danych osobowych, o którym mowa w art. 20 RODO. Pełna informacja RODO znajduje się w pkt XIX poniżej.</w:t>
      </w:r>
      <w:r>
        <w:t xml:space="preserve"> </w:t>
      </w:r>
      <w:r>
        <w:br w:type="page"/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8" w:name="_kio5xbesnplw" w:colFirst="0" w:colLast="0"/>
      <w:bookmarkEnd w:id="8"/>
      <w:r>
        <w:rPr>
          <w:rFonts w:ascii="Arial" w:eastAsia="Arial" w:hAnsi="Arial" w:cs="Arial"/>
          <w:sz w:val="28"/>
          <w:szCs w:val="28"/>
        </w:rPr>
        <w:lastRenderedPageBreak/>
        <w:t xml:space="preserve">Informacje o </w:t>
      </w:r>
      <w:r>
        <w:rPr>
          <w:rFonts w:ascii="Arial" w:eastAsia="Arial" w:hAnsi="Arial" w:cs="Arial"/>
          <w:sz w:val="28"/>
          <w:szCs w:val="28"/>
        </w:rPr>
        <w:t>Zamawiającym</w:t>
      </w:r>
    </w:p>
    <w:p w:rsidR="00791802" w:rsidRDefault="002834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9" w:name="_d79rbkvevobl" w:colFirst="0" w:colLast="0"/>
      <w:bookmarkEnd w:id="9"/>
      <w:proofErr w:type="spellStart"/>
      <w:r>
        <w:rPr>
          <w:b/>
          <w:color w:val="000000"/>
        </w:rPr>
        <w:t>Veolia</w:t>
      </w:r>
      <w:proofErr w:type="spellEnd"/>
      <w:r>
        <w:rPr>
          <w:b/>
          <w:color w:val="000000"/>
        </w:rPr>
        <w:t xml:space="preserve"> </w:t>
      </w:r>
      <w:r>
        <w:rPr>
          <w:b/>
        </w:rPr>
        <w:t>Północ</w:t>
      </w:r>
      <w:r>
        <w:t xml:space="preserve"> </w:t>
      </w:r>
      <w:r>
        <w:rPr>
          <w:b/>
        </w:rPr>
        <w:t xml:space="preserve">Sp. z o.o. </w:t>
      </w:r>
      <w:r>
        <w:t>z siedzibą w Świeciu, ul. Ciepła 9, 86-105 Świecie, zarejestrowaną w rejestrze przedsiębiorców prowadzonym przez Sąd Rejonowy w Bydgoszczy, XIII Wydział Gospodarczy Krajowego Rejestru Sądowego pod numerem KRS 000011142</w:t>
      </w:r>
      <w:r>
        <w:t>5, NIP 743-000-42-05, o kapitale zakładowym 63 148 800,00 PLN</w:t>
      </w:r>
      <w:r>
        <w:rPr>
          <w:color w:val="000000"/>
        </w:rPr>
        <w:t>, opłaconym w całości (dalej „</w:t>
      </w:r>
      <w:r>
        <w:rPr>
          <w:b/>
          <w:color w:val="000000"/>
        </w:rPr>
        <w:t>Zamawiający</w:t>
      </w:r>
      <w:r>
        <w:rPr>
          <w:color w:val="000000"/>
        </w:rPr>
        <w:t>").</w:t>
      </w:r>
    </w:p>
    <w:p w:rsidR="00791802" w:rsidRDefault="002834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0" w:name="_oobit4rlg0em" w:colFirst="0" w:colLast="0"/>
      <w:bookmarkEnd w:id="10"/>
      <w:r>
        <w:rPr>
          <w:color w:val="000000"/>
        </w:rPr>
        <w:t xml:space="preserve">Pełnomocnikiem Zamawiającego w Postępowaniu jest </w:t>
      </w:r>
      <w:proofErr w:type="spellStart"/>
      <w:r>
        <w:rPr>
          <w:color w:val="000000"/>
        </w:rPr>
        <w:t>Veolia</w:t>
      </w:r>
      <w:proofErr w:type="spellEnd"/>
      <w:r>
        <w:rPr>
          <w:color w:val="000000"/>
        </w:rPr>
        <w:t xml:space="preserve"> Energia Polska S.A. z siedzibą w Warszawie, ul. Puławska 2, 02-566 Warszawa, zarejestrowana w </w:t>
      </w:r>
      <w:r>
        <w:rPr>
          <w:color w:val="000000"/>
        </w:rPr>
        <w:t>rejestrze przedsiębiorców prowadzonym przez Sąd Rejonowy dla Miasta st. Warszawy, XIII Wydział Gospodarczy Krajowego Rejestru Sądowego pod numerem KRS 000006129, NIP 945-16-47-866, o kapitale zakładowym 1.214.967.003,60 zł opłaconym w całości.</w:t>
      </w:r>
    </w:p>
    <w:p w:rsidR="00791802" w:rsidRDefault="002834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1" w:name="_el2naounmkmk" w:colFirst="0" w:colLast="0"/>
      <w:bookmarkEnd w:id="11"/>
      <w:r>
        <w:rPr>
          <w:color w:val="000000"/>
        </w:rPr>
        <w:t xml:space="preserve">Pełnomocnik </w:t>
      </w:r>
      <w:r>
        <w:rPr>
          <w:color w:val="000000"/>
        </w:rPr>
        <w:t>jest upoważniony do przygotowania i przeprowadzenia niniejszego postępowania (dalej „</w:t>
      </w:r>
      <w:r>
        <w:rPr>
          <w:b/>
          <w:color w:val="000000"/>
        </w:rPr>
        <w:t>Postępowanie</w:t>
      </w:r>
      <w:r>
        <w:rPr>
          <w:color w:val="000000"/>
        </w:rPr>
        <w:t>”) w imieniu i na rzecz Zamawiającego.</w:t>
      </w:r>
    </w:p>
    <w:p w:rsidR="00791802" w:rsidRDefault="002834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2" w:name="_k9kzthuv6mau" w:colFirst="0" w:colLast="0"/>
      <w:bookmarkEnd w:id="12"/>
      <w:r>
        <w:rPr>
          <w:color w:val="000000"/>
        </w:rPr>
        <w:t>Punkt kontaktowy i korespondencyjny w sprawie Zamówienia: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b/>
        </w:rPr>
      </w:pPr>
      <w:proofErr w:type="spellStart"/>
      <w:r>
        <w:rPr>
          <w:b/>
        </w:rPr>
        <w:t>Veolia</w:t>
      </w:r>
      <w:proofErr w:type="spellEnd"/>
      <w:r>
        <w:rPr>
          <w:b/>
        </w:rPr>
        <w:t xml:space="preserve"> Energia Polska S.A.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</w:rPr>
      </w:pPr>
      <w:bookmarkStart w:id="13" w:name="_2rhiwpt47lfs" w:colFirst="0" w:colLast="0"/>
      <w:bookmarkEnd w:id="13"/>
      <w:r>
        <w:rPr>
          <w:b/>
        </w:rPr>
        <w:t xml:space="preserve">biuro w Łodzi (Zakupy Centralne), </w:t>
      </w:r>
      <w:r>
        <w:rPr>
          <w:color w:val="000000"/>
        </w:rPr>
        <w:t xml:space="preserve">ul. J. Andrzejewskiej 5, </w:t>
      </w:r>
      <w:r>
        <w:t>92-550 Łódź</w:t>
      </w:r>
      <w:r>
        <w:rPr>
          <w:color w:val="000000"/>
        </w:rPr>
        <w:t>,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</w:rPr>
      </w:pPr>
      <w:bookmarkStart w:id="14" w:name="_8uku2ktyxk89" w:colFirst="0" w:colLast="0"/>
      <w:bookmarkEnd w:id="14"/>
      <w:r>
        <w:rPr>
          <w:color w:val="000000"/>
        </w:rPr>
        <w:t xml:space="preserve">Telefon: (+48) </w:t>
      </w:r>
      <w:r>
        <w:t>722 055</w:t>
      </w:r>
      <w:r>
        <w:t xml:space="preserve"> 105</w:t>
      </w:r>
      <w:r>
        <w:rPr>
          <w:color w:val="000000"/>
        </w:rPr>
        <w:t>,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</w:rPr>
      </w:pPr>
      <w:bookmarkStart w:id="15" w:name="_5n4s4xzgq7fc" w:colFirst="0" w:colLast="0"/>
      <w:bookmarkEnd w:id="15"/>
      <w:r>
        <w:rPr>
          <w:color w:val="000000"/>
        </w:rPr>
        <w:t xml:space="preserve">E-mail: </w:t>
      </w:r>
      <w:hyperlink r:id="rId9">
        <w:r>
          <w:rPr>
            <w:color w:val="1155CC"/>
            <w:u w:val="single"/>
          </w:rPr>
          <w:t>pawel.scibior@veolia.com</w:t>
        </w:r>
      </w:hyperlink>
      <w:r>
        <w:rPr>
          <w:color w:val="000000"/>
        </w:rPr>
        <w:t xml:space="preserve">, </w:t>
      </w:r>
      <w:r>
        <w:t>(w przypadkach, w których nie jest możliwa komunikacja poprzez Bazę Konkurencyjności)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9"/>
      </w:pPr>
      <w:bookmarkStart w:id="16" w:name="_46w4wgborla4" w:colFirst="0" w:colLast="0"/>
      <w:bookmarkEnd w:id="16"/>
      <w:r>
        <w:rPr>
          <w:color w:val="000000"/>
        </w:rPr>
        <w:t xml:space="preserve">Osoba do kontaktu: </w:t>
      </w:r>
      <w:r>
        <w:t>P</w:t>
      </w:r>
      <w:r>
        <w:t>aweł Ścibior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17" w:name="_r7e22cro7nq7" w:colFirst="0" w:colLast="0"/>
      <w:bookmarkEnd w:id="17"/>
      <w:r>
        <w:rPr>
          <w:rFonts w:ascii="Arial" w:eastAsia="Arial" w:hAnsi="Arial" w:cs="Arial"/>
          <w:sz w:val="28"/>
          <w:szCs w:val="28"/>
        </w:rPr>
        <w:t xml:space="preserve">Tryb udzielenia Zamówienia </w:t>
      </w:r>
    </w:p>
    <w:p w:rsidR="00791802" w:rsidRDefault="0028340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Postępowanie jest prowadzone </w:t>
      </w:r>
      <w:r>
        <w:t xml:space="preserve">w trybie przetargu nieograniczonego </w:t>
      </w:r>
      <w:r>
        <w:rPr>
          <w:color w:val="000000"/>
        </w:rPr>
        <w:t>w oparciu o przepisy art. 70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– 70</w:t>
      </w:r>
      <w:r>
        <w:rPr>
          <w:color w:val="000000"/>
          <w:vertAlign w:val="superscript"/>
        </w:rPr>
        <w:t>5</w:t>
      </w:r>
      <w:r>
        <w:rPr>
          <w:color w:val="000000"/>
        </w:rPr>
        <w:t xml:space="preserve"> ustawy z dnia 23 kwietnia 1964 r. - Kodeks cywilny (tekst jednolity: Dz. U. z 2022 r., poz. 1360, ze zm.) oraz warunki i wymagania zamieszczone w SWZ. Postępowanie </w:t>
      </w:r>
      <w:r>
        <w:t xml:space="preserve">jest prowadzone zgodnie z </w:t>
      </w:r>
      <w:r>
        <w:rPr>
          <w:i/>
        </w:rPr>
        <w:t>Wytycznymi dotyczącymi kwalifikowalności wydatków na lata 2021-20</w:t>
      </w:r>
      <w:r>
        <w:rPr>
          <w:i/>
        </w:rPr>
        <w:t xml:space="preserve">27, </w:t>
      </w:r>
      <w:r>
        <w:t>wydanymi przez Ministra Funduszy i Polityki Regionalnej.</w:t>
      </w:r>
    </w:p>
    <w:p w:rsidR="00791802" w:rsidRDefault="0028340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Wyłonienie Wykonawcy nastąpi w sposób zgodny z </w:t>
      </w:r>
      <w:r>
        <w:rPr>
          <w:i/>
          <w:color w:val="000000"/>
        </w:rPr>
        <w:t>zasadą konkurencyjności</w:t>
      </w:r>
      <w:r>
        <w:t>, na zasadach szczegółowo opisanych w Specyfikacji Warunków Zamówienia (SWZ).</w:t>
      </w:r>
    </w:p>
    <w:p w:rsidR="00791802" w:rsidRDefault="0028340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</w:pPr>
      <w:bookmarkStart w:id="18" w:name="_93rx1jjgmfo0" w:colFirst="0" w:colLast="0"/>
      <w:bookmarkEnd w:id="18"/>
      <w:r>
        <w:rPr>
          <w:b/>
          <w:color w:val="000000"/>
        </w:rPr>
        <w:t xml:space="preserve">Do Postępowania </w:t>
      </w:r>
      <w:r>
        <w:rPr>
          <w:b/>
          <w:color w:val="000000"/>
          <w:u w:val="single"/>
        </w:rPr>
        <w:t>nie mają</w:t>
      </w:r>
      <w:r>
        <w:rPr>
          <w:b/>
          <w:color w:val="000000"/>
        </w:rPr>
        <w:t xml:space="preserve"> zastosowania przepisy </w:t>
      </w:r>
      <w:r>
        <w:rPr>
          <w:b/>
          <w:color w:val="000000"/>
        </w:rPr>
        <w:t>ustawy z dnia 11 września 2019 r. Prawo zamówień publicznych (tekst jednolity: Dz. U. z 2022 r., poz. 1710, ze zm.).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19" w:name="_yt0qx4bd8p5f" w:colFirst="0" w:colLast="0"/>
      <w:bookmarkEnd w:id="19"/>
      <w:r>
        <w:rPr>
          <w:rFonts w:ascii="Arial" w:eastAsia="Arial" w:hAnsi="Arial" w:cs="Arial"/>
          <w:sz w:val="28"/>
          <w:szCs w:val="28"/>
        </w:rPr>
        <w:t>Sposób komunikacji w Postępowaniu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rPr>
          <w:color w:val="000000"/>
        </w:rPr>
      </w:pPr>
      <w:bookmarkStart w:id="20" w:name="_r9td11e44hq9" w:colFirst="0" w:colLast="0"/>
      <w:bookmarkEnd w:id="20"/>
      <w:r>
        <w:t>Numer postępowania: postępowanie, którego dotyczy niniejszy dokument, oznaczone jest numerem 2025/00</w:t>
      </w:r>
      <w:r>
        <w:t>69</w:t>
      </w:r>
      <w:r>
        <w:t>/P/</w:t>
      </w:r>
      <w:r>
        <w:t xml:space="preserve">P. Wykonawcy porozumiewając się z Zamawiającym powinni powoływać się na numer postępowania, a wszelka korespondencja powinna być kierowana w postaci elektronicznej za </w:t>
      </w:r>
      <w:r>
        <w:lastRenderedPageBreak/>
        <w:t>pośrednictwem Bazy Konkurencyjności dostępnej pod adresem https://bazakonkurencyjnosci.fu</w:t>
      </w:r>
      <w:r>
        <w:t>nduszeeuropejskie.gov.pl/ (dalej jako: „BK2021”).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1" w:name="_3jk4mfxul0z" w:colFirst="0" w:colLast="0"/>
      <w:bookmarkEnd w:id="21"/>
      <w:r>
        <w:t>W postępowaniu o udzielenie zamówienia komunikacja między Zamawiającym a Wykonawcami odbywa się przy użyciu środków komunikacji elektronicznej za pośrednictwem BK2021, a w przypadku braku możliwości technic</w:t>
      </w:r>
      <w:r>
        <w:t xml:space="preserve">znych (awarii lub ograniczeń funkcjonalnych BK2021) za pośrednictwem poczty elektronicznej adres e-mail: </w:t>
      </w:r>
      <w:hyperlink r:id="rId10">
        <w:r>
          <w:rPr>
            <w:color w:val="1155CC"/>
            <w:u w:val="single"/>
          </w:rPr>
          <w:t>pawel.scibior@veolia.com</w:t>
        </w:r>
      </w:hyperlink>
      <w:r>
        <w:t>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2" w:name="_wuezbqby0l7n" w:colFirst="0" w:colLast="0"/>
      <w:bookmarkEnd w:id="22"/>
      <w:r>
        <w:t>Zamawiający</w:t>
      </w:r>
      <w:r>
        <w:t xml:space="preserve"> nie jest podmiotem zapewniającym działanie BK2021, a jedynie k</w:t>
      </w:r>
      <w:r>
        <w:t>orzysta z tego rozwiązania w celu przeprowadzenia postępowania.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3" w:name="_5a4t93icm1fz" w:colFirst="0" w:colLast="0"/>
      <w:bookmarkEnd w:id="23"/>
      <w:r>
        <w:t>Zamawiający</w:t>
      </w:r>
      <w:r>
        <w:rPr>
          <w:color w:val="000000"/>
        </w:rPr>
        <w:t xml:space="preserve"> informuje, że w przypadku jakichkolwiek wątpliwości związanych z zasadami korzystania z </w:t>
      </w:r>
      <w:r>
        <w:t xml:space="preserve">BK2021 </w:t>
      </w:r>
      <w:r>
        <w:rPr>
          <w:color w:val="000000"/>
        </w:rPr>
        <w:t xml:space="preserve">Wykonawca może skontaktować się z dostawcą </w:t>
      </w:r>
      <w:r>
        <w:t>BK2021</w:t>
      </w:r>
      <w:r>
        <w:rPr>
          <w:color w:val="000000"/>
        </w:rPr>
        <w:t>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4" w:name="_julafnx4bzd2" w:colFirst="0" w:colLast="0"/>
      <w:bookmarkEnd w:id="24"/>
      <w:r>
        <w:t>Wykonawca</w:t>
      </w:r>
      <w:r>
        <w:t xml:space="preserve"> zamierzający wziąć udzia</w:t>
      </w:r>
      <w:r>
        <w:t>ł w postępowaniu o udzielenie zamówienia musi posiadać konto użytkownika w BK2021. Rejestracji należy dokonać na stronie: https://bazakonkurencyjnosci.funduszeeuropejskie.gov.pl/konto/rejestracja/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5" w:name="_h0xgxv6alw42" w:colFirst="0" w:colLast="0"/>
      <w:bookmarkEnd w:id="25"/>
      <w:r>
        <w:t>Zalecane</w:t>
      </w:r>
      <w:r>
        <w:t xml:space="preserve"> formaty przesyłania plików to: pdf, </w:t>
      </w:r>
      <w:proofErr w:type="spellStart"/>
      <w:r>
        <w:t>excel</w:t>
      </w:r>
      <w:proofErr w:type="spellEnd"/>
      <w:r>
        <w:t xml:space="preserve">, </w:t>
      </w:r>
      <w:proofErr w:type="spellStart"/>
      <w:r>
        <w:t>doc</w:t>
      </w:r>
      <w:proofErr w:type="spellEnd"/>
      <w:r>
        <w:t>, zi</w:t>
      </w:r>
      <w:r>
        <w:t>p. Wielkość jednego przesyłanego pliku to maksymalnie 25 MB. Możliwe jest załączenie maksymalnie 20 plików.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6" w:name="_n77h8g3onwng" w:colFirst="0" w:colLast="0"/>
      <w:bookmarkEnd w:id="26"/>
      <w:r>
        <w:t>Za</w:t>
      </w:r>
      <w:r>
        <w:t xml:space="preserve"> datę przekazania przez Wykonawcę oferty, zawiadomień, dokumentów elektronicznych, oświadczeń lub elektronicznych kopii dokumentów lub oświadczeń </w:t>
      </w:r>
      <w:r>
        <w:t>oraz innych informacji przyjmuje się datę ich zamieszczenia w BK2021. Złożenie oferty po terminie składania ofert nie jest możliwe.</w:t>
      </w:r>
    </w:p>
    <w:p w:rsidR="00791802" w:rsidRDefault="0028340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bookmarkStart w:id="27" w:name="_cahvkgg636cd" w:colFirst="0" w:colLast="0"/>
      <w:bookmarkEnd w:id="27"/>
      <w:r>
        <w:t>Postępowanie</w:t>
      </w:r>
      <w:r>
        <w:rPr>
          <w:color w:val="000000"/>
        </w:rPr>
        <w:t xml:space="preserve"> prowadzone jest w języku polskim.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28" w:name="_sqdvtnq5i9jt" w:colFirst="0" w:colLast="0"/>
      <w:bookmarkEnd w:id="28"/>
      <w:r>
        <w:rPr>
          <w:rFonts w:ascii="Arial" w:eastAsia="Arial" w:hAnsi="Arial" w:cs="Arial"/>
          <w:sz w:val="28"/>
          <w:szCs w:val="28"/>
        </w:rPr>
        <w:t>Przedmiot Zamówienia</w:t>
      </w: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t>Przedmiotem Zamówienia je</w:t>
      </w:r>
      <w:r>
        <w:t xml:space="preserve">st </w:t>
      </w:r>
      <w:r>
        <w:rPr>
          <w:b/>
        </w:rPr>
        <w:t xml:space="preserve">Budowa kotła </w:t>
      </w:r>
      <w:proofErr w:type="spellStart"/>
      <w:r>
        <w:rPr>
          <w:b/>
        </w:rPr>
        <w:t>biomasowego</w:t>
      </w:r>
      <w:proofErr w:type="spellEnd"/>
      <w:r>
        <w:rPr>
          <w:b/>
        </w:rPr>
        <w:t xml:space="preserve"> w ramach ciepłowni w Świeciu</w:t>
      </w:r>
      <w:r>
        <w:t>, realizowana w formule „pod klucz” w Świeciu, p</w:t>
      </w:r>
      <w:r>
        <w:t xml:space="preserve">rzy ulicy </w:t>
      </w:r>
      <w:r>
        <w:t>ul. Ciepła 9, 86-105 Świecie</w:t>
      </w:r>
      <w:r>
        <w:t xml:space="preserve"> (dalej “</w:t>
      </w:r>
      <w:r>
        <w:rPr>
          <w:b/>
        </w:rPr>
        <w:t>Zamówienie</w:t>
      </w:r>
      <w:r>
        <w:t>”).</w:t>
      </w: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t>Zamówienie</w:t>
      </w:r>
      <w:r>
        <w:t xml:space="preserve"> zostanie zrealizowane na terenie istniejącej elektrociepłowni </w:t>
      </w:r>
      <w:r>
        <w:t xml:space="preserve">ul. Ciepła 9, 86-105 </w:t>
      </w:r>
      <w:r>
        <w:t>Świecie</w:t>
      </w:r>
      <w:r>
        <w:t>.</w:t>
      </w: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rPr>
          <w:b/>
        </w:rPr>
        <w:t>N</w:t>
      </w:r>
      <w:r>
        <w:rPr>
          <w:b/>
          <w:color w:val="000000"/>
        </w:rPr>
        <w:t xml:space="preserve">iedopuszczalne jest złożenie więcej niż jednej oferty na </w:t>
      </w:r>
      <w:r>
        <w:rPr>
          <w:b/>
        </w:rPr>
        <w:t>wykonanie Z</w:t>
      </w:r>
      <w:r>
        <w:rPr>
          <w:b/>
          <w:color w:val="000000"/>
        </w:rPr>
        <w:t>amówienia</w:t>
      </w:r>
      <w:r>
        <w:rPr>
          <w:b/>
        </w:rPr>
        <w:t xml:space="preserve">. W przypadku złożenia więcej niż jednej oferty na wykonanie Zamówienia </w:t>
      </w:r>
      <w:r>
        <w:rPr>
          <w:b/>
          <w:color w:val="000000"/>
        </w:rPr>
        <w:t xml:space="preserve">oferta zostanie odrzucona. </w:t>
      </w: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t>Szczegółowy</w:t>
      </w:r>
      <w:r>
        <w:rPr>
          <w:color w:val="000000"/>
        </w:rPr>
        <w:t xml:space="preserve"> opis przedmiotu </w:t>
      </w:r>
      <w:r>
        <w:t xml:space="preserve">Zamówienia </w:t>
      </w:r>
      <w:r>
        <w:rPr>
          <w:color w:val="000000"/>
        </w:rPr>
        <w:t>zawarty jest w Części II SWZ –</w:t>
      </w:r>
      <w:r>
        <w:rPr>
          <w:color w:val="000000"/>
        </w:rPr>
        <w:t xml:space="preserve"> Opis Przedmiotu Zamówienia</w:t>
      </w:r>
      <w:r>
        <w:t>.</w:t>
      </w:r>
      <w:r>
        <w:br/>
      </w:r>
      <w:r>
        <w:br/>
      </w:r>
      <w:r>
        <w:rPr>
          <w:b/>
        </w:rPr>
        <w:t>W</w:t>
      </w:r>
      <w:r>
        <w:rPr>
          <w:b/>
          <w:color w:val="000000"/>
        </w:rPr>
        <w:t xml:space="preserve"> celu uz</w:t>
      </w:r>
      <w:r>
        <w:rPr>
          <w:b/>
        </w:rPr>
        <w:t>yskania Załącznika nr 1</w:t>
      </w:r>
      <w:r>
        <w:rPr>
          <w:b/>
        </w:rPr>
        <w:t>0 i 11</w:t>
      </w:r>
      <w:r>
        <w:rPr>
          <w:b/>
        </w:rPr>
        <w:t xml:space="preserve"> do Części II SWZ – Opis Przedmiotu Zamówienia oraz Załącznik</w:t>
      </w:r>
      <w:r>
        <w:rPr>
          <w:b/>
        </w:rPr>
        <w:t>a</w:t>
      </w:r>
      <w:r>
        <w:rPr>
          <w:b/>
        </w:rPr>
        <w:t xml:space="preserve"> nr 16 - Wymagania bezpieczeństwa informatycznego dla systemów technologicznych do Części III SWZ – Wzór umowy, stanowiących </w:t>
      </w:r>
      <w:r>
        <w:rPr>
          <w:b/>
          <w:i/>
        </w:rPr>
        <w:t>W</w:t>
      </w:r>
      <w:r>
        <w:rPr>
          <w:b/>
          <w:i/>
        </w:rPr>
        <w:t>ytyczne IT</w:t>
      </w:r>
      <w:r>
        <w:rPr>
          <w:b/>
        </w:rPr>
        <w:t xml:space="preserve"> Wykonawca zobowiązany jest do </w:t>
      </w:r>
      <w:r>
        <w:rPr>
          <w:b/>
        </w:rPr>
        <w:lastRenderedPageBreak/>
        <w:t xml:space="preserve">uprzedniego złożenia oświadczenia o zachowaniu poufności, którego wzór stanowi </w:t>
      </w:r>
      <w:r>
        <w:rPr>
          <w:b/>
        </w:rPr>
        <w:t>Załącznik nr 11</w:t>
      </w:r>
      <w:r>
        <w:rPr>
          <w:b/>
        </w:rPr>
        <w:t xml:space="preserve"> do Części I SWZ – Instrukcja dla Wykonawców (IDW) sporządzonego w oryginale w formie elektronicznej (opatrzonej kwalifik</w:t>
      </w:r>
      <w:r>
        <w:rPr>
          <w:b/>
        </w:rPr>
        <w:t xml:space="preserve">owanym podpisem elektronicznym) i przekazanego Zamawiającemu </w:t>
      </w:r>
      <w:r>
        <w:rPr>
          <w:b/>
        </w:rPr>
        <w:t xml:space="preserve">za pośrednictwem poczty elektronicznej adres e-mail: </w:t>
      </w:r>
      <w:hyperlink r:id="rId11">
        <w:r>
          <w:rPr>
            <w:b/>
            <w:color w:val="1155CC"/>
            <w:u w:val="single"/>
          </w:rPr>
          <w:t>pawel.scibior@veolia.com</w:t>
        </w:r>
      </w:hyperlink>
      <w:r>
        <w:rPr>
          <w:b/>
        </w:rPr>
        <w:t xml:space="preserve"> </w:t>
      </w:r>
      <w:r>
        <w:rPr>
          <w:b/>
        </w:rPr>
        <w:t xml:space="preserve">lub w formie pisemnej (oryginał dokumentu należy wówczas przesłać </w:t>
      </w:r>
      <w:r>
        <w:rPr>
          <w:b/>
        </w:rPr>
        <w:t>na adres wskazany w rozdziale I pkt 4 Części I SWZ - Instrukcja dla Wykonawców [IDW])</w:t>
      </w:r>
      <w:r>
        <w:rPr>
          <w:color w:val="000000"/>
        </w:rPr>
        <w:t>.</w:t>
      </w: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t>Nazwy</w:t>
      </w:r>
      <w:r>
        <w:rPr>
          <w:color w:val="000000"/>
          <w:highlight w:val="white"/>
        </w:rPr>
        <w:t xml:space="preserve"> i kody CPV: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45251200-3 Roboty budowlane w zakresie budowy ciepłowni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71000000-8 Usługi architektoniczne, budowlane, inżynieryjne i kontrolne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71220000-6 Usługi projektowania architektonicznego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71300000-1 Usługi inżynieryjne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71310000-4 Doradcze usługi inżynieryjne i budowlane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45111200-0 Roboty w zakresie przygotowania terenu pod budowę i roboty ziemne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45111100-9 Roboty w zakresie burzenia, roboty ziemne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45262310-7 Zbrojenie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45262210-6 Fundamentowanie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45200000-9 Roboty w zakresie wznoszenia kompletnych obiektów budowlanych lub ich części oraz roboty w zakresie inżynierii lądowej i wodnej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45223100-7 Monta</w:t>
      </w:r>
      <w:r>
        <w:t>ż konstrukcji metalowych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45223210-1 Prace konstrukcyjne ze stali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45442200-9 Nakładanie powłok antykorozyjnych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45230000-8 Roboty budowlane w zakresie budowy rurociągów, linii komunikacyjnych i elektroenergetycznych, dróg, lotnisk i kolei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45231110-9 Roboty b</w:t>
      </w:r>
      <w:r>
        <w:t>udowlane w zakresie kładzenia rurociągów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45231112-3 Instalacja rurociągów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 xml:space="preserve">45232150-8 Roboty w zakresie rurociągów do </w:t>
      </w:r>
      <w:proofErr w:type="spellStart"/>
      <w:r>
        <w:t>przesyłu</w:t>
      </w:r>
      <w:proofErr w:type="spellEnd"/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45233222-1 Roboty w zakresie chodników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45233250-6 Roboty w zakresie nawierzchni z wyjątkiem dróg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45261000-4 Wykonanie pokryć i kon</w:t>
      </w:r>
      <w:r>
        <w:t>strukcji dachowych oraz podobne roboty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45261320-3 Kładzenie rynien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45261410-1 Izolowanie dachu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45262000-1 Specjalne roboty budowlane inne niż dachowe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45262500-6 Roboty murarskie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45310000-3 Roboty instalacyjne w budynkach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45331110-0 Instalowanie kotłów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45312310-3 Ochrona odgromowa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45312311-0 Montaż instalacji piorunochronnej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45311100-1 Roboty w zakresie okablowania elektrycznego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42961000-0 System sterowania i kontroli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45320000-6 Roboty izolacyjne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45321000-3 Izolacja cieplna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45330000-9 Roboty instalacyjne</w:t>
      </w:r>
      <w:r>
        <w:t xml:space="preserve"> wodno-kanalizacyjne i sanitarne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lastRenderedPageBreak/>
        <w:t>45410000-4 Roboty tynkarskie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45421000-4 Roboty w zakresie stolarki budowlanej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45432210-9 Kładzenie okładzin ściennych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45331000-6 Instalowanie urządzeń grzewczych, wentylacyjnych i klimatyzacyjnych</w:t>
      </w:r>
    </w:p>
    <w:p w:rsidR="00791802" w:rsidRDefault="0028340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08" w:hanging="360"/>
      </w:pPr>
      <w:r>
        <w:t>45440000-3 Roboty malarski</w:t>
      </w:r>
      <w:r>
        <w:t>e</w:t>
      </w:r>
    </w:p>
    <w:p w:rsidR="00791802" w:rsidRDefault="00791802">
      <w:pPr>
        <w:pBdr>
          <w:top w:val="nil"/>
          <w:left w:val="nil"/>
          <w:bottom w:val="nil"/>
          <w:right w:val="nil"/>
          <w:between w:val="nil"/>
        </w:pBdr>
        <w:ind w:left="142"/>
        <w:rPr>
          <w:b/>
        </w:rPr>
      </w:pPr>
    </w:p>
    <w:p w:rsidR="00791802" w:rsidRDefault="00283407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425"/>
      </w:pPr>
      <w:r>
        <w:rPr>
          <w:b/>
        </w:rPr>
        <w:t>Wszędzie</w:t>
      </w:r>
      <w:r>
        <w:rPr>
          <w:b/>
          <w:color w:val="000000"/>
        </w:rPr>
        <w:t xml:space="preserve"> tam, gdzie przedmiot Zamówienia opisano przez odniesienie do norm, europejskich ocen technicznych, aprobat, specyfikacji technicznych i systemów referencji technicznych, Zamawiający dopuszcza rozwiązania równoważne opisywanym. W przypadku, gdy w opisie pr</w:t>
      </w:r>
      <w:r>
        <w:rPr>
          <w:b/>
          <w:color w:val="000000"/>
        </w:rPr>
        <w:t>zedmiotu Zamówienia podano nazwy materiałów, produktów lub urządzeń konkretnych producentów, należy traktować to jedynie jako określenie pożądanego standardu i jakości. We wszystkich takich sytuacjach Wykonawca może zaoferować równoważne materiały, produkt</w:t>
      </w:r>
      <w:r>
        <w:rPr>
          <w:b/>
          <w:color w:val="000000"/>
        </w:rPr>
        <w:t>y lub urządzenia o co najmniej takich samych parametrach. Przez równoważność materiału, produktu lub urządzenia rozumie się zaoferowanie materiału, produktu lub urządzenia, którego parametry techniczne s</w:t>
      </w:r>
      <w:r>
        <w:rPr>
          <w:b/>
          <w:color w:val="000000"/>
          <w:highlight w:val="white"/>
        </w:rPr>
        <w:t>ą co najmniej takie same ja</w:t>
      </w:r>
      <w:r>
        <w:rPr>
          <w:b/>
          <w:color w:val="000000"/>
        </w:rPr>
        <w:t>k produktów opisanych w SW</w:t>
      </w:r>
      <w:r>
        <w:rPr>
          <w:b/>
          <w:color w:val="000000"/>
        </w:rPr>
        <w:t>Z. Udowodnienie równoważności należy do Wykonawcy.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29" w:name="_a7e216q0kbpp" w:colFirst="0" w:colLast="0"/>
      <w:bookmarkEnd w:id="29"/>
      <w:r>
        <w:rPr>
          <w:rFonts w:ascii="Arial" w:eastAsia="Arial" w:hAnsi="Arial" w:cs="Arial"/>
          <w:sz w:val="28"/>
          <w:szCs w:val="28"/>
        </w:rPr>
        <w:t>Wyjaśnienie i zmiana treści SWZ, wizja lokalna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Wykonawca może zwrócić się do Zamawiającego o wyjaśnienie treści SWZ. Zamawiający zobowiązany jest udzielić wyjaśnień pod warunkiem, że wniosek o wyjaśnienie treści SWZ wpłynął do </w:t>
      </w:r>
      <w:r>
        <w:t>Z</w:t>
      </w:r>
      <w:r>
        <w:rPr>
          <w:color w:val="000000"/>
        </w:rPr>
        <w:t xml:space="preserve">amawiającego </w:t>
      </w:r>
      <w:r>
        <w:rPr>
          <w:b/>
          <w:color w:val="000000"/>
        </w:rPr>
        <w:t xml:space="preserve">nie później niż </w:t>
      </w:r>
      <w:r>
        <w:rPr>
          <w:b/>
        </w:rPr>
        <w:t>na</w:t>
      </w:r>
      <w:r>
        <w:rPr>
          <w:b/>
          <w:color w:val="000000"/>
          <w:highlight w:val="white"/>
        </w:rPr>
        <w:t xml:space="preserve"> 1</w:t>
      </w:r>
      <w:r>
        <w:rPr>
          <w:b/>
          <w:highlight w:val="white"/>
        </w:rPr>
        <w:t>4</w:t>
      </w:r>
      <w:r>
        <w:rPr>
          <w:b/>
          <w:color w:val="000000"/>
          <w:highlight w:val="white"/>
        </w:rPr>
        <w:t xml:space="preserve"> d</w:t>
      </w:r>
      <w:r>
        <w:rPr>
          <w:b/>
          <w:color w:val="000000"/>
        </w:rPr>
        <w:t xml:space="preserve">ni przed pierwotnym terminem składania </w:t>
      </w:r>
      <w:r>
        <w:rPr>
          <w:b/>
          <w:color w:val="000000"/>
        </w:rPr>
        <w:t>ofert</w:t>
      </w:r>
      <w:r>
        <w:rPr>
          <w:b/>
        </w:rPr>
        <w:t xml:space="preserve">. </w:t>
      </w:r>
      <w:r>
        <w:t xml:space="preserve">Wykonawca może również zwrócić się do Zamawiającego z wnioskiem o zmianę SWZ. 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Wykonawca zwraca się o wyjaśnienie treści SWZ za pośrednictwem BK2021. Treść zapytań wraz z wyjaśnieniami </w:t>
      </w:r>
      <w:r>
        <w:t xml:space="preserve">zostanie zamieszczona </w:t>
      </w:r>
      <w:r>
        <w:t>w BK2021</w:t>
      </w:r>
      <w:r>
        <w:t>.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Zamawiający, przed upływem termi</w:t>
      </w:r>
      <w:r>
        <w:rPr>
          <w:color w:val="000000"/>
        </w:rPr>
        <w:t xml:space="preserve">nu składania ofert, może zmienić lub uzupełnić treść SWZ. Dokonaną zmianę lub uzupełnienie SWZ Zamawiający zamieszcza </w:t>
      </w:r>
      <w:r>
        <w:t>w</w:t>
      </w:r>
      <w:r>
        <w:rPr>
          <w:color w:val="000000"/>
        </w:rPr>
        <w:t xml:space="preserve"> </w:t>
      </w:r>
      <w:r>
        <w:t>BK2021</w:t>
      </w:r>
      <w:r>
        <w:rPr>
          <w:color w:val="000000"/>
        </w:rPr>
        <w:t xml:space="preserve">. 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Wykonawcy zobowiązani są do zapoznania się z treścią publikowanych zapytań wraz z wyjaśnieniami SWZ oraz zmianami lub uzupełnie</w:t>
      </w:r>
      <w:r>
        <w:rPr>
          <w:color w:val="000000"/>
        </w:rPr>
        <w:t>niami SWZ.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Ze względu na stopień skomplikowania Zamówienia, w tym konieczność jego realizacji na terenie będącym w ciągłym wykorzystaniu Zamawiającego w ramach jego bieżącej działalności, przed złożeniem oferty Wykonawcy </w:t>
      </w:r>
      <w:r>
        <w:rPr>
          <w:b/>
          <w:u w:val="single"/>
        </w:rPr>
        <w:t>mają możliwość wzięcia</w:t>
      </w:r>
      <w:r>
        <w:rPr>
          <w:b/>
        </w:rPr>
        <w:t xml:space="preserve"> </w:t>
      </w:r>
      <w:r>
        <w:rPr>
          <w:b/>
        </w:rPr>
        <w:t>udziału w wi</w:t>
      </w:r>
      <w:r>
        <w:rPr>
          <w:b/>
        </w:rPr>
        <w:t>zji lokalnej.</w:t>
      </w:r>
      <w:r>
        <w:rPr>
          <w:b/>
          <w:color w:val="000000"/>
        </w:rPr>
        <w:t xml:space="preserve"> Za</w:t>
      </w:r>
      <w:r>
        <w:rPr>
          <w:b/>
        </w:rPr>
        <w:t>mawiający planuje przeprowadzić w</w:t>
      </w:r>
      <w:r>
        <w:rPr>
          <w:b/>
          <w:color w:val="000000"/>
        </w:rPr>
        <w:t xml:space="preserve">izje lokalne w </w:t>
      </w:r>
      <w:r>
        <w:rPr>
          <w:b/>
        </w:rPr>
        <w:t>następujących terminach</w:t>
      </w:r>
      <w:r>
        <w:rPr>
          <w:b/>
          <w:color w:val="000000"/>
        </w:rPr>
        <w:t>:</w:t>
      </w:r>
    </w:p>
    <w:p w:rsidR="00791802" w:rsidRDefault="00283407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 termin</w:t>
      </w:r>
      <w:r>
        <w:rPr>
          <w:color w:val="000000"/>
          <w:highlight w:val="white"/>
        </w:rPr>
        <w:t xml:space="preserve"> - </w:t>
      </w:r>
      <w:r>
        <w:rPr>
          <w:highlight w:val="white"/>
        </w:rPr>
        <w:t>01.07.2025r. w godz. 8.00-14.00</w:t>
      </w:r>
    </w:p>
    <w:p w:rsidR="00791802" w:rsidRDefault="00283407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color w:val="000000"/>
          <w:highlight w:val="white"/>
        </w:rPr>
        <w:t xml:space="preserve">II termin - </w:t>
      </w:r>
      <w:r>
        <w:rPr>
          <w:highlight w:val="white"/>
        </w:rPr>
        <w:t>08.07.2025r</w:t>
      </w:r>
      <w:r>
        <w:rPr>
          <w:highlight w:val="white"/>
        </w:rPr>
        <w:t xml:space="preserve">. </w:t>
      </w:r>
      <w:r>
        <w:rPr>
          <w:highlight w:val="white"/>
        </w:rPr>
        <w:t>w godz. 8.00-14.00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highlight w:val="white"/>
        </w:rPr>
        <w:lastRenderedPageBreak/>
        <w:t>Celem</w:t>
      </w:r>
      <w:r>
        <w:rPr>
          <w:color w:val="000000"/>
          <w:highlight w:val="white"/>
        </w:rPr>
        <w:t xml:space="preserve"> zgłoszenia udziału w wizji lokalnej Wykonawcy zobowiązani są do przesłania </w:t>
      </w:r>
      <w:r>
        <w:rPr>
          <w:highlight w:val="white"/>
        </w:rPr>
        <w:t xml:space="preserve">za pośrednictwem </w:t>
      </w:r>
      <w:r>
        <w:rPr>
          <w:highlight w:val="white"/>
        </w:rPr>
        <w:t xml:space="preserve">e-mail </w:t>
      </w:r>
      <w:hyperlink r:id="rId12">
        <w:r>
          <w:rPr>
            <w:color w:val="1155CC"/>
            <w:highlight w:val="white"/>
            <w:u w:val="single"/>
          </w:rPr>
          <w:t>jaroslaw.kusmierczyk@veolia.com</w:t>
        </w:r>
      </w:hyperlink>
      <w:r>
        <w:rPr>
          <w:highlight w:val="white"/>
        </w:rPr>
        <w:t xml:space="preserve">  </w:t>
      </w:r>
      <w:r>
        <w:rPr>
          <w:color w:val="000000"/>
          <w:highlight w:val="white"/>
        </w:rPr>
        <w:t xml:space="preserve">propozycji daty odbycia wizji lokalnej zawierającej się w terminach podanych w </w:t>
      </w:r>
      <w:r>
        <w:rPr>
          <w:highlight w:val="white"/>
        </w:rPr>
        <w:t>pkt. 5 powyżej.</w:t>
      </w:r>
      <w:r>
        <w:rPr>
          <w:color w:val="000000"/>
          <w:highlight w:val="white"/>
        </w:rPr>
        <w:t xml:space="preserve"> Zgłoszenie udziału w wizji </w:t>
      </w:r>
      <w:r>
        <w:rPr>
          <w:highlight w:val="white"/>
        </w:rPr>
        <w:t>należy przekazać Zamawiającemu nie później niż w terminie do:</w:t>
      </w:r>
    </w:p>
    <w:p w:rsidR="00791802" w:rsidRDefault="0028340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855"/>
        <w:rPr>
          <w:highlight w:val="white"/>
        </w:rPr>
      </w:pPr>
      <w:r>
        <w:rPr>
          <w:highlight w:val="white"/>
        </w:rPr>
        <w:t xml:space="preserve">dla terminu I - 30.06.2025r. </w:t>
      </w:r>
    </w:p>
    <w:p w:rsidR="00791802" w:rsidRDefault="0028340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855"/>
        <w:rPr>
          <w:highlight w:val="white"/>
        </w:rPr>
      </w:pPr>
      <w:r>
        <w:rPr>
          <w:highlight w:val="white"/>
        </w:rPr>
        <w:t xml:space="preserve">dla terminu II - 07.07.2025r. 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color w:val="000000"/>
          <w:highlight w:val="white"/>
        </w:rPr>
        <w:t xml:space="preserve">Ze względu </w:t>
      </w:r>
      <w:r>
        <w:rPr>
          <w:color w:val="000000"/>
          <w:highlight w:val="white"/>
        </w:rPr>
        <w:t xml:space="preserve">na ograniczenia organizacyjne i związane z koniecznością </w:t>
      </w:r>
      <w:r>
        <w:rPr>
          <w:highlight w:val="white"/>
        </w:rPr>
        <w:t xml:space="preserve">przestrzegania na terenie </w:t>
      </w:r>
      <w:proofErr w:type="spellStart"/>
      <w:r>
        <w:rPr>
          <w:highlight w:val="white"/>
        </w:rPr>
        <w:t>Veolia</w:t>
      </w:r>
      <w:proofErr w:type="spellEnd"/>
      <w:r>
        <w:rPr>
          <w:highlight w:val="white"/>
        </w:rPr>
        <w:t xml:space="preserve"> Północ Sp. z o.o., ul. </w:t>
      </w:r>
      <w:r>
        <w:rPr>
          <w:highlight w:val="white"/>
        </w:rPr>
        <w:t>Ciepła 9, 86-105 Świecie</w:t>
      </w:r>
      <w:r>
        <w:rPr>
          <w:highlight w:val="white"/>
        </w:rPr>
        <w:t xml:space="preserve"> zasad BHP b</w:t>
      </w:r>
      <w:r>
        <w:rPr>
          <w:color w:val="000000"/>
          <w:highlight w:val="white"/>
        </w:rPr>
        <w:t>rak otrzymania przez Zamawiającego zgłoszenia udziału w wizji lokalnej we wskazanym terminie może doprowadz</w:t>
      </w:r>
      <w:r>
        <w:rPr>
          <w:color w:val="000000"/>
          <w:highlight w:val="white"/>
        </w:rPr>
        <w:t xml:space="preserve">ić do </w:t>
      </w:r>
      <w:r>
        <w:rPr>
          <w:highlight w:val="white"/>
        </w:rPr>
        <w:t>niedopuszczenia</w:t>
      </w:r>
      <w:r>
        <w:rPr>
          <w:color w:val="000000"/>
          <w:highlight w:val="white"/>
        </w:rPr>
        <w:t xml:space="preserve"> Wykonawcy do udziału w wizji lokalnej. </w:t>
      </w:r>
      <w:r>
        <w:rPr>
          <w:b/>
          <w:color w:val="000000"/>
          <w:highlight w:val="white"/>
        </w:rPr>
        <w:t>Zamawiający dopuszcza możliwość przepr</w:t>
      </w:r>
      <w:r>
        <w:rPr>
          <w:b/>
          <w:highlight w:val="white"/>
        </w:rPr>
        <w:t>owadzenia wizji lokalnych w innych terminach niż wskazane w pkt. 5 powyżej</w:t>
      </w:r>
      <w:r>
        <w:rPr>
          <w:highlight w:val="white"/>
        </w:rPr>
        <w:t>. Ostateczne terminy wizji lokalnych zostaną ustalone w porozumieniu z Wykonawcami,</w:t>
      </w:r>
      <w:r>
        <w:rPr>
          <w:highlight w:val="white"/>
        </w:rPr>
        <w:t xml:space="preserve"> którzy złożą stosowne wnioski w wyznaczonym terminie.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highlight w:val="white"/>
        </w:rPr>
        <w:t>W odpowiedzi na zgłoszenie udziału w wizji lokalnej Zamawiający przekaże Wykonawcy ostateczny termin i godzinę odbycia wizji lokalnej.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highlight w:val="white"/>
        </w:rPr>
        <w:t>Zamawiający zaleca, aby ze strony każdego Wykonawcy liczba delegat</w:t>
      </w:r>
      <w:r>
        <w:rPr>
          <w:highlight w:val="white"/>
        </w:rPr>
        <w:t>ów nie przekroczyła liczby 3 osób.</w:t>
      </w:r>
    </w:p>
    <w:p w:rsidR="00791802" w:rsidRDefault="0028340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  <w:r>
        <w:rPr>
          <w:highlight w:val="white"/>
        </w:rPr>
        <w:t xml:space="preserve">Wizje lokalne zostaną przeprowadzone w miejscu wykonania Zamówienia - terenie istniejącej </w:t>
      </w:r>
      <w:r>
        <w:rPr>
          <w:highlight w:val="white"/>
        </w:rPr>
        <w:t xml:space="preserve">ciepłowni </w:t>
      </w:r>
      <w:proofErr w:type="spellStart"/>
      <w:r>
        <w:rPr>
          <w:highlight w:val="white"/>
        </w:rPr>
        <w:t>Veolia</w:t>
      </w:r>
      <w:proofErr w:type="spellEnd"/>
      <w:r>
        <w:rPr>
          <w:highlight w:val="white"/>
        </w:rPr>
        <w:t xml:space="preserve"> Północ Sp. z o.o., ul. Ciepła 9, 86-105 Świecie</w:t>
      </w:r>
    </w:p>
    <w:p w:rsidR="00791802" w:rsidRDefault="00283407">
      <w:pPr>
        <w:pStyle w:val="Nagwek1"/>
        <w:numPr>
          <w:ilvl w:val="0"/>
          <w:numId w:val="25"/>
        </w:numPr>
      </w:pPr>
      <w:bookmarkStart w:id="30" w:name="_xlzg33amh2sq" w:colFirst="0" w:colLast="0"/>
      <w:bookmarkEnd w:id="30"/>
      <w:r>
        <w:rPr>
          <w:rFonts w:ascii="Arial" w:eastAsia="Arial" w:hAnsi="Arial" w:cs="Arial"/>
          <w:sz w:val="28"/>
          <w:szCs w:val="28"/>
        </w:rPr>
        <w:t xml:space="preserve">Przesłanki wykluczenia i warunki udziału w Postępowaniu 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Poza przypadkami wskazanymi szczegółowo w innych rozdziałach w Części I SWZ – Instrukcja dla Wykonawców (IDW), Zamawiający wykluczy z Postępowania Wykonawcę: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wobec którego otwarto likwidację lub ogłoszono upadłość;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który zalega z opłacaniem podatków, z wyj</w:t>
      </w:r>
      <w:r>
        <w:rPr>
          <w:color w:val="000000"/>
        </w:rPr>
        <w:t>ątkiem przypadku, gdy Wykonawca uzyskał przewidziane prawem zwolnienie, odroczenie lub rozłożenie na raty zaległych płatności lub wstrzymanie w całości wykonania decyzji właściwego organu;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który zalega z opłacaniem składek na ubezpieczenia zdrowotne </w:t>
      </w:r>
      <w:r>
        <w:t>lub</w:t>
      </w:r>
      <w:r>
        <w:rPr>
          <w:color w:val="000000"/>
        </w:rPr>
        <w:t xml:space="preserve"> sp</w:t>
      </w:r>
      <w:r>
        <w:rPr>
          <w:color w:val="000000"/>
        </w:rPr>
        <w:t>ołeczne, z wyjątkiem przypadku, gdy Wykonawca uzyskał przewidziane prawem zwolnienie, odroczenie lub rozłożenie na raty zaległych płatności lub wstrzymanie w całości wykonania decyzji właściwego organu;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jeżeli występuje konflikt interesów w rozumieniu punk</w:t>
      </w:r>
      <w:r>
        <w:rPr>
          <w:color w:val="000000"/>
        </w:rPr>
        <w:t>tu 2 poniżej</w:t>
      </w:r>
      <w:r>
        <w:t>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który jest objęty jakimikolwiek sankcjami obowiązującymi w Polsce lub w Unii Europejskiej, w szczególności sankcjami w związku z agresją Federacji Rosyjskiej na Ukrainę rozpoczętą w dniu 24 lutego 2022 r., w tym jest wymieniony w wykazach okr</w:t>
      </w:r>
      <w:r>
        <w:rPr>
          <w:color w:val="000000"/>
        </w:rPr>
        <w:t xml:space="preserve">eślonych w rozporządzeniu 765/2006 i w </w:t>
      </w:r>
      <w:r>
        <w:rPr>
          <w:color w:val="000000"/>
        </w:rPr>
        <w:lastRenderedPageBreak/>
        <w:t>rozporządzeniu 269/2014 lub wpisany na listę osób i podmiotów, wobec których są stosowane środki, o których mowa w art. 1 ustawy z dnia 13 kwietnia 2022 r. o szczególnych rozwiązaniach w zakresie przeciwdziałania wspi</w:t>
      </w:r>
      <w:r>
        <w:rPr>
          <w:color w:val="000000"/>
        </w:rPr>
        <w:t>eraniu agresji na Ukrainę oraz służących ochronie bezpieczeństwa narodowego lub którego beneficjent rzeczywisty (w rozumieniu ustawy z dnia 1 marca 2018 r. o przeciwdziałaniu praniu pieniędzy oraz finansowaniu terroryzmu) lub jednostka dominująca (w rozumi</w:t>
      </w:r>
      <w:r>
        <w:rPr>
          <w:color w:val="000000"/>
        </w:rPr>
        <w:t>eniu ustawy z dnia 29 września 1994 r. o rachunkowości) jest osobą objętą w/w sankcjami;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jeżeli </w:t>
      </w:r>
      <w:r>
        <w:rPr>
          <w:color w:val="000000"/>
        </w:rPr>
        <w:t>Wykonawca</w:t>
      </w:r>
      <w:r>
        <w:t xml:space="preserve"> lub którakolwiek ze spółek matek/spółek zależnych Wykonawcy posiada jakiekolwiek aktywa, oddziały lub prowadzi działalność w Iranie, Korei Północnej, </w:t>
      </w:r>
      <w:r>
        <w:t>Libii, Syrii, Kubie, Zimbabwe, Wenezueli, Rosji lub Białorusi;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highlight w:val="white"/>
        </w:rPr>
        <w:t>który w ramach Postępowania w wyniku zamierzonego działania, rażącego niedbalstwa, lekkomyślności lub niedbalstwa wprowad</w:t>
      </w:r>
      <w:r>
        <w:t xml:space="preserve">ził Zamawiającego w błąd przy przedstawianiu informacji, że nie podlega </w:t>
      </w:r>
      <w:r>
        <w:t xml:space="preserve">wykluczeniu, spełnia </w:t>
      </w:r>
      <w:r>
        <w:rPr>
          <w:highlight w:val="white"/>
        </w:rPr>
        <w:t>warunki udziału w postępowaniu lub przedstawił inne nieprawdziwe informacje mogące mieć wpływ na decyzje podejmowane przez zamawiającego lub który zataił te informacje lub nie jest w stanie przedstawić wymaganych informacji lub dokumen</w:t>
      </w:r>
      <w:r>
        <w:rPr>
          <w:highlight w:val="white"/>
        </w:rPr>
        <w:t>tów;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360"/>
        <w:rPr>
          <w:highlight w:val="yellow"/>
        </w:rPr>
      </w:pPr>
      <w:r>
        <w:t>Zamawiający</w:t>
      </w:r>
      <w:r>
        <w:rPr>
          <w:highlight w:val="white"/>
        </w:rPr>
        <w:t xml:space="preserve"> nie wykluczy Wykonawcy z Postępowania jeżeli uzna, że takie wykluczenie byłoby sprzeczne z zasadą proporcjonalności.</w:t>
      </w:r>
      <w:r>
        <w:rPr>
          <w:highlight w:val="yellow"/>
        </w:rPr>
        <w:t xml:space="preserve"> 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Przez</w:t>
      </w:r>
      <w:r>
        <w:rPr>
          <w:color w:val="000000"/>
        </w:rPr>
        <w:t xml:space="preserve"> konflikt interesów rozumie się wzajemne powiązania między Zamawiającym lub osobami upoważnionymi do zaciągania zobowiązań w imieniu Zamawiającego lub osobami wykonującymi w imieniu Zamawiającego czynności związane z przygotowaniem i przeprowadzeniem proce</w:t>
      </w:r>
      <w:r>
        <w:rPr>
          <w:color w:val="000000"/>
        </w:rPr>
        <w:t>dury wyboru Wykonawcy a Wykonawcą, polegające na: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uczestniczeniu w spółce jako wspólnik spółki cywilnej lub spółki osobowej,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posiadaniu co najmniej 10 % udziałów lub akcji, 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pełnieniu funkcji członka organu nadzorczego lub zarządzającego, prokurenta, pełnomocnika,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pozostawaniu w związku małżeńskim, w stosunku pokrewieństwa lub powinowactwa w linii prostej, pokrewieństwa drugiego stopnia lub powinowactwa drugiego stopnia w lini</w:t>
      </w:r>
      <w:r>
        <w:rPr>
          <w:color w:val="000000"/>
        </w:rPr>
        <w:t>i bocznej lub w stosunku przysposobienia, opieki lub kurateli albo pozostawaniu we wspólnym pożyciu z Wykonawcą, jego zastępcą prawnym lub członkami organów zarządzających lub organów nadzorczych Wykonawców,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pozostawaniu z Wykonawcą w takim stosunku prawny</w:t>
      </w:r>
      <w:r>
        <w:rPr>
          <w:color w:val="000000"/>
        </w:rPr>
        <w:t>m lub faktycznym, że istnieje uzasadniona wątpliwość co do ich bezstronności lub niezależności w związku z Postępowaniem.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141"/>
      </w:pPr>
      <w:r>
        <w:t>W</w:t>
      </w:r>
      <w:r>
        <w:rPr>
          <w:color w:val="000000"/>
        </w:rPr>
        <w:t xml:space="preserve"> Postępowaniu ustala następujące </w:t>
      </w:r>
      <w:r>
        <w:rPr>
          <w:b/>
          <w:color w:val="000000"/>
        </w:rPr>
        <w:t>warunki udziału</w:t>
      </w:r>
      <w:r>
        <w:rPr>
          <w:color w:val="000000"/>
        </w:rPr>
        <w:t>: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u w:val="single"/>
        </w:rPr>
        <w:t xml:space="preserve">W zakresie posiadanej wiedzy i doświadczenia: </w:t>
      </w:r>
    </w:p>
    <w:p w:rsidR="00791802" w:rsidRDefault="00283407">
      <w:pPr>
        <w:spacing w:before="0"/>
        <w:ind w:left="566"/>
      </w:pPr>
      <w:bookmarkStart w:id="31" w:name="_6u8r48ix2vn5" w:colFirst="0" w:colLast="0"/>
      <w:bookmarkEnd w:id="31"/>
      <w:r>
        <w:lastRenderedPageBreak/>
        <w:t>Wykonawca wykaże, że należycie wykon</w:t>
      </w:r>
      <w:r>
        <w:t>ał w okresie ostatnich 10 lat przed upływem terminu składania ofert, a jeżeli okres prowadzenia działalności jest krótszy – w tym okresie wykonał łącznie następujące zamówienia:</w:t>
      </w:r>
    </w:p>
    <w:p w:rsidR="00791802" w:rsidRDefault="00283407">
      <w:pPr>
        <w:numPr>
          <w:ilvl w:val="0"/>
          <w:numId w:val="29"/>
        </w:numPr>
        <w:ind w:left="1133" w:hanging="285"/>
      </w:pPr>
      <w:r>
        <w:t>co najmniej jedno zamówienie polegające na wykonaniu kompletnej (</w:t>
      </w:r>
      <w:proofErr w:type="spellStart"/>
      <w:r>
        <w:t>pełnobranżowe</w:t>
      </w:r>
      <w:r>
        <w:t>j</w:t>
      </w:r>
      <w:proofErr w:type="spellEnd"/>
      <w:r>
        <w:t xml:space="preserve">) dokumentacji projektowej w ramach budowy kotła </w:t>
      </w:r>
      <w:proofErr w:type="spellStart"/>
      <w:r>
        <w:t>biomasowego</w:t>
      </w:r>
      <w:proofErr w:type="spellEnd"/>
      <w:r>
        <w:t xml:space="preserve"> opalanego </w:t>
      </w:r>
      <w:proofErr w:type="spellStart"/>
      <w:r>
        <w:t>zrębką</w:t>
      </w:r>
      <w:proofErr w:type="spellEnd"/>
      <w:r>
        <w:t xml:space="preserve"> drzewną o mocy termicznej min. 2 MW;</w:t>
      </w:r>
    </w:p>
    <w:p w:rsidR="00791802" w:rsidRDefault="00283407">
      <w:pPr>
        <w:numPr>
          <w:ilvl w:val="0"/>
          <w:numId w:val="29"/>
        </w:numPr>
        <w:ind w:left="1133" w:hanging="285"/>
      </w:pPr>
      <w:r>
        <w:t xml:space="preserve">co najmniej jedno zamówienie polegające na wykonaniu dostaw, prac montażowych, rozruchu i optymalizacji układu kotła </w:t>
      </w:r>
      <w:proofErr w:type="spellStart"/>
      <w:r>
        <w:t>biomasowego</w:t>
      </w:r>
      <w:proofErr w:type="spellEnd"/>
      <w:r>
        <w:t xml:space="preserve"> opalanego </w:t>
      </w:r>
      <w:proofErr w:type="spellStart"/>
      <w:r>
        <w:t>z</w:t>
      </w:r>
      <w:r>
        <w:t>rębką</w:t>
      </w:r>
      <w:proofErr w:type="spellEnd"/>
      <w:r>
        <w:t xml:space="preserve"> drzewną o mocy termicznej </w:t>
      </w:r>
      <w:r>
        <w:rPr>
          <w:highlight w:val="white"/>
        </w:rPr>
        <w:t>min. 2 MW;</w:t>
      </w:r>
    </w:p>
    <w:p w:rsidR="00791802" w:rsidRDefault="00283407">
      <w:pPr>
        <w:numPr>
          <w:ilvl w:val="0"/>
          <w:numId w:val="29"/>
        </w:numPr>
        <w:ind w:left="1133" w:hanging="285"/>
        <w:rPr>
          <w:highlight w:val="white"/>
        </w:rPr>
      </w:pPr>
      <w:r>
        <w:rPr>
          <w:highlight w:val="white"/>
        </w:rPr>
        <w:t>co najmniej jedno zamówienie polegające na wykonaniu budowy budynku kotłowni w technologii szkieletowej o słupach żelbetowych i ścianach z płyt warstwowych.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2" w:name="_6kjem5t4rze3" w:colFirst="0" w:colLast="0"/>
      <w:bookmarkEnd w:id="32"/>
      <w:r>
        <w:t>Zamówienia opisane powyżej mogą zostać spełnione zarówno w ramach jednej, jak i kilku umów.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3" w:name="_2c10jti4phvb" w:colFirst="0" w:colLast="0"/>
      <w:bookmarkEnd w:id="33"/>
      <w:r>
        <w:t>Jeżeli Wykonawca wykazuje doświadczenie nabyte w ramach umowy realizowanej przez grupę wykonawców, Zamawiający dopuszcza możliwość polegania na doświadczeniu tej gr</w:t>
      </w:r>
      <w:r>
        <w:t>upy wyłącznie, jeżeli Wykonawca faktycznie i konkretnie wykonywał wykazywany zakres prac. Zamawiający zastrzega możliwość zwrócenia się do Wykonawcy o wyjaśnienia w zakresie faktycznie wykonywanego zakresu prac oraz przedstawienia stosownych dowodów, z któ</w:t>
      </w:r>
      <w:r>
        <w:t>rych wynika zakres realizowanych przez Wykonawcę obowiązków.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  <w:rPr>
          <w:highlight w:val="white"/>
        </w:rPr>
      </w:pPr>
      <w:bookmarkStart w:id="34" w:name="_7wdby872d0m8" w:colFirst="0" w:colLast="0"/>
      <w:bookmarkEnd w:id="34"/>
      <w:r>
        <w:t>W celu potwierdzenia spełniania niniejszego warunku Wykonawcy zobowiązani są przedłożyć Wykaz Zamówień sporządzony według wzoru stanowiącego Załącznik nr 4 do Części I SWZ – Instrukcja dla Wykona</w:t>
      </w:r>
      <w:r>
        <w:t>wców (IDW) wraz z załączeniem dowodów potwierdzających, że zamówienia wskazane w wykazie zostały wykonane należycie, przy czym dowodami, o których mowa, są referencje/protokoły odbioru bądź inne dokumenty wystawione przez podmiot, na rzecz którego zamówien</w:t>
      </w:r>
      <w:r>
        <w:t xml:space="preserve">ia były wykonywane. Zamawiający zastrzega sobie prawo do weryfikacji przedłożonych dokumentów referencyjnych, stąd też Wykonawca winien podać dane kontaktowe do podmiotów, na rzecz których </w:t>
      </w:r>
      <w:r>
        <w:rPr>
          <w:highlight w:val="white"/>
        </w:rPr>
        <w:t>zamówienia były wykonywane</w:t>
      </w:r>
      <w:r>
        <w:rPr>
          <w:color w:val="000000"/>
          <w:highlight w:val="white"/>
        </w:rPr>
        <w:t>.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u w:val="single"/>
        </w:rPr>
        <w:t>W zakresie dysponowania odpowiednio prz</w:t>
      </w:r>
      <w:r>
        <w:rPr>
          <w:u w:val="single"/>
        </w:rPr>
        <w:t>ygotowanym zawodowo potencjałem osobowym, który będzie skierowany do realizacji: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5" w:name="_4u17afix4qjt" w:colFirst="0" w:colLast="0"/>
      <w:bookmarkEnd w:id="35"/>
      <w:r>
        <w:t>Wykonawca wykaże, że dysponuje lub będzie dysponować co najmniej po jednej osobie na każde wymienione poniżej stanowisko:</w:t>
      </w:r>
    </w:p>
    <w:p w:rsidR="00791802" w:rsidRDefault="00283407">
      <w:pPr>
        <w:numPr>
          <w:ilvl w:val="0"/>
          <w:numId w:val="1"/>
        </w:numPr>
        <w:ind w:left="850" w:hanging="285"/>
        <w:rPr>
          <w:rFonts w:ascii="Calibri" w:eastAsia="Calibri" w:hAnsi="Calibri" w:cs="Calibri"/>
          <w:highlight w:val="white"/>
        </w:rPr>
      </w:pPr>
      <w:bookmarkStart w:id="36" w:name="_ne2yydyzt8cm" w:colFirst="0" w:colLast="0"/>
      <w:bookmarkEnd w:id="36"/>
      <w:r>
        <w:rPr>
          <w:b/>
          <w:highlight w:val="white"/>
        </w:rPr>
        <w:t xml:space="preserve">Kierownik Kontraktu (Kierownik Projektu) - </w:t>
      </w:r>
      <w:r>
        <w:rPr>
          <w:highlight w:val="white"/>
        </w:rPr>
        <w:t>co najmnie</w:t>
      </w:r>
      <w:r>
        <w:rPr>
          <w:highlight w:val="white"/>
        </w:rPr>
        <w:t xml:space="preserve">j 2-letnie doświadczenie zawodowe w zarządzaniu przedsięwzięciami (projektami), w tym kierowania zespołem, w zakresie budowy kotłowni </w:t>
      </w:r>
      <w:proofErr w:type="spellStart"/>
      <w:r>
        <w:rPr>
          <w:highlight w:val="white"/>
        </w:rPr>
        <w:t>biomasowych</w:t>
      </w:r>
      <w:proofErr w:type="spellEnd"/>
      <w:r>
        <w:rPr>
          <w:highlight w:val="white"/>
        </w:rPr>
        <w:t xml:space="preserve"> o mocy termicznej min. 2 MW;</w:t>
      </w:r>
    </w:p>
    <w:p w:rsidR="00791802" w:rsidRDefault="00283407">
      <w:pPr>
        <w:numPr>
          <w:ilvl w:val="0"/>
          <w:numId w:val="1"/>
        </w:numPr>
        <w:ind w:left="850" w:hanging="285"/>
        <w:rPr>
          <w:rFonts w:ascii="Calibri" w:eastAsia="Calibri" w:hAnsi="Calibri" w:cs="Calibri"/>
          <w:highlight w:val="white"/>
        </w:rPr>
      </w:pPr>
      <w:r>
        <w:rPr>
          <w:b/>
          <w:highlight w:val="white"/>
        </w:rPr>
        <w:lastRenderedPageBreak/>
        <w:t xml:space="preserve">Projektant (technolog) – </w:t>
      </w:r>
      <w:r>
        <w:rPr>
          <w:highlight w:val="white"/>
        </w:rPr>
        <w:t>który wykonał co najmniej dwie dokumentacje technologicz</w:t>
      </w:r>
      <w:r>
        <w:rPr>
          <w:highlight w:val="white"/>
        </w:rPr>
        <w:t xml:space="preserve">ne(procesowe) dotyczące instalacji kotłowni </w:t>
      </w:r>
      <w:proofErr w:type="spellStart"/>
      <w:r>
        <w:rPr>
          <w:highlight w:val="white"/>
        </w:rPr>
        <w:t>biomasowych</w:t>
      </w:r>
      <w:proofErr w:type="spellEnd"/>
      <w:r>
        <w:rPr>
          <w:highlight w:val="white"/>
        </w:rPr>
        <w:t xml:space="preserve"> o mocy termicznej min. 2 MW (każda).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7" w:name="_b8685b99jj9d" w:colFirst="0" w:colLast="0"/>
      <w:bookmarkEnd w:id="37"/>
      <w:r>
        <w:t xml:space="preserve">Powyższe osoby muszą posiadać biegłą znajomość języka polskiego lub w przypadku, gdy nie posiadają biegłej znajomości języka polskiego, Wykonawca jest zobowiązany </w:t>
      </w:r>
      <w:r>
        <w:t>zapewnić tłumacza na okres i dla potrzeb realizacji umowy na swój koszt.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8" w:name="_qax29xxboe8f" w:colFirst="0" w:colLast="0"/>
      <w:bookmarkEnd w:id="38"/>
      <w:r>
        <w:t>W celu potwierdzenia spełniania niniejszego warunku Wykonawcy zobowiązani są przedłożyć Wykaz Osób, którymi dysponują lub będą dysponować i które będą uczestniczyć w wykonaniu Zamówie</w:t>
      </w:r>
      <w:r>
        <w:t>nia, sporządzony według wzoru stanowiącego Zał</w:t>
      </w:r>
      <w:r>
        <w:rPr>
          <w:highlight w:val="white"/>
        </w:rPr>
        <w:t xml:space="preserve">ącznik nr 5 </w:t>
      </w:r>
      <w:r>
        <w:t>do Części I SWZ – Instrukcja dla Wykonawców (IDW).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39" w:name="_r3fqyzqug38v" w:colFirst="0" w:colLast="0"/>
      <w:bookmarkEnd w:id="39"/>
      <w:r>
        <w:t>Wykonawca wskazuje w Wykazie Osób, niezależnie od wymagań wynikających z wzoru tego załącznika, co najmniej następujące informacje:</w:t>
      </w:r>
    </w:p>
    <w:p w:rsidR="00791802" w:rsidRDefault="00283407">
      <w:pPr>
        <w:numPr>
          <w:ilvl w:val="0"/>
          <w:numId w:val="27"/>
        </w:numPr>
        <w:spacing w:after="0"/>
        <w:ind w:left="850"/>
      </w:pPr>
      <w:r>
        <w:t>dla osoby z pkt</w:t>
      </w:r>
      <w:r>
        <w:t xml:space="preserve"> a) powyżej - imię i nazwisko, szczegółowy opis doświadczenia zawodowego, rozumiany jako wskazanie konkretnych przedsięwzięć (projektów) </w:t>
      </w:r>
      <w:r>
        <w:rPr>
          <w:highlight w:val="white"/>
        </w:rPr>
        <w:t xml:space="preserve">w zakresie budowy kotłowni </w:t>
      </w:r>
      <w:proofErr w:type="spellStart"/>
      <w:r>
        <w:rPr>
          <w:highlight w:val="white"/>
        </w:rPr>
        <w:t>biomasowych</w:t>
      </w:r>
      <w:proofErr w:type="spellEnd"/>
      <w:r>
        <w:rPr>
          <w:highlight w:val="white"/>
        </w:rPr>
        <w:t xml:space="preserve"> o mocy termicznej min. 2 MW</w:t>
      </w:r>
      <w:r>
        <w:t xml:space="preserve"> wraz z okresem wykonywania danych czynności/pełnieni</w:t>
      </w:r>
      <w:r>
        <w:t>a danej funkcji;</w:t>
      </w:r>
    </w:p>
    <w:p w:rsidR="00791802" w:rsidRDefault="00283407">
      <w:pPr>
        <w:numPr>
          <w:ilvl w:val="0"/>
          <w:numId w:val="27"/>
        </w:numPr>
        <w:spacing w:before="0"/>
        <w:ind w:left="850"/>
      </w:pPr>
      <w:bookmarkStart w:id="40" w:name="_8hyi5m7flc37" w:colFirst="0" w:colLast="0"/>
      <w:bookmarkEnd w:id="40"/>
      <w:r>
        <w:t xml:space="preserve">dla osoby z pkt b) powyżej - imię i nazwisko, oświadczenie dotyczące doświadczenia zawodowego w wykonywaniu dokumentacji 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u w:val="single"/>
        </w:rPr>
        <w:t xml:space="preserve">W zakresie sytuacji ekonomicznej i finansowej: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41" w:name="_jhtas3iblcyx" w:colFirst="0" w:colLast="0"/>
      <w:bookmarkEnd w:id="41"/>
      <w:r>
        <w:t>Wykonawca wykaże, że:</w:t>
      </w:r>
    </w:p>
    <w:p w:rsidR="00791802" w:rsidRDefault="00283407">
      <w:pPr>
        <w:numPr>
          <w:ilvl w:val="0"/>
          <w:numId w:val="2"/>
        </w:numPr>
        <w:ind w:left="992" w:hanging="285"/>
      </w:pPr>
      <w:bookmarkStart w:id="42" w:name="_p8ykrc6sfdf1" w:colFirst="0" w:colLast="0"/>
      <w:bookmarkEnd w:id="42"/>
      <w:r>
        <w:t xml:space="preserve">jest ubezpieczony od odpowiedzialności cywilnej w zakresie prowadzonej działalności na kwotę nie niższą niż 10.000.000 PLN (dziesięć milionów </w:t>
      </w:r>
      <w:r>
        <w:rPr>
          <w:highlight w:val="white"/>
        </w:rPr>
        <w:t xml:space="preserve">złotych); </w:t>
      </w:r>
    </w:p>
    <w:p w:rsidR="00791802" w:rsidRDefault="002834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2" w:hanging="285"/>
      </w:pPr>
      <w:bookmarkStart w:id="43" w:name="_cckri6svm350" w:colFirst="0" w:colLast="0"/>
      <w:bookmarkEnd w:id="43"/>
      <w:r>
        <w:rPr>
          <w:highlight w:val="white"/>
        </w:rPr>
        <w:t>osiągnął w ostatnich 3 latach obrotowych, a jeżeli okres prowadzenia dzi</w:t>
      </w:r>
      <w:r>
        <w:t>ałalności gospodarczej był krót</w:t>
      </w:r>
      <w:r>
        <w:t>szy – za ten okres, sumaryczne przychody netto ze sprzedaży w wysokości co najmniej 30.000.000 PLN (trzydzieści milionów złotych);</w:t>
      </w:r>
    </w:p>
    <w:p w:rsidR="00791802" w:rsidRDefault="002834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2" w:hanging="285"/>
      </w:pPr>
      <w:bookmarkStart w:id="44" w:name="_6zwgfn5em2s9" w:colFirst="0" w:colLast="0"/>
      <w:bookmarkEnd w:id="44"/>
      <w:r>
        <w:t>posiad</w:t>
      </w:r>
      <w:r>
        <w:rPr>
          <w:highlight w:val="white"/>
        </w:rPr>
        <w:t>a dostęp do środków finansowych w wysokości nie niższej niż 12.000.000 PLN (dwanaście milionów złotych).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45" w:name="_5w3y00rmp839" w:colFirst="0" w:colLast="0"/>
      <w:bookmarkEnd w:id="45"/>
      <w:r>
        <w:t>W celu potwier</w:t>
      </w:r>
      <w:r>
        <w:t>dzenia spełniania warunku z lit. a) powyżej Wykonawcy zobowiązani są przedłożyć polisę lub inny dokument potwierdzający, że Wykonawca jest ubezpieczony od odpowiedzialności cywilnej w zakresie prowadzonej działalności gospodarczej na kwotę nie niższą niż 1</w:t>
      </w:r>
      <w:r>
        <w:t>0.000.000 PLN (dziesięć milionów złotych).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46" w:name="_apq40ahdrz78" w:colFirst="0" w:colLast="0"/>
      <w:bookmarkEnd w:id="46"/>
      <w:r>
        <w:t>W celu potwierdzenia spełniania warunku z lit. b) powyżej Wykonawcy zobowiązani są przedłożyć sprawozdanie finansowe albo jego część, w przypadku gdy sporządzenie sprawozdania wymagane jest przepisami kraju, w któ</w:t>
      </w:r>
      <w:r>
        <w:t xml:space="preserve">rym Wykonawca ma siedzibę lub miejsce zamieszkania, a jeżeli podlega ono badaniu przez firmę audytorską zgodnie z przepisami o rachunkowości, również </w:t>
      </w:r>
      <w:r>
        <w:lastRenderedPageBreak/>
        <w:t>odpowiednio ze sprawozdaniem z badania sprawozdania finansowego, a w przypadku Wykonawców niezobowiązanych</w:t>
      </w:r>
      <w:r>
        <w:t xml:space="preserve"> do sporządzenia sprawozdania finansowego, innych dokumentów określających w szczególności przychody oraz aktywa i zobowiązania - za okres nie dłuższy niż ostatnie 3 lata obrotowe, a jeżeli okres prowadzenia działalności jest krótszy - za ten okres.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spacing w:before="0"/>
        <w:ind w:left="566"/>
      </w:pPr>
      <w:bookmarkStart w:id="47" w:name="_4ulpqor0fgke" w:colFirst="0" w:colLast="0"/>
      <w:bookmarkEnd w:id="47"/>
      <w:r>
        <w:t>W celu</w:t>
      </w:r>
      <w:r>
        <w:t xml:space="preserve"> potwierdzenia spełniania warunku z lit. c) powyżej Wykonawcy zobowiązani są przedłożyć informację banku potwierdzającą wysokość posiadanych środków finansowych lub zdolność kredytową Wykonawcy, w okresie nie wcześniejszym niż 3 miesiące przed upływem term</w:t>
      </w:r>
      <w:r>
        <w:t>inu składania ofert.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u w:val="single"/>
        </w:rPr>
        <w:t>W zakresie poziomu dojrzałości organizacji: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t>Wykonawca</w:t>
      </w:r>
      <w:r>
        <w:t xml:space="preserve"> wykaże, że jego organizacja posiada co najmniej satysfakcjonujący poziom dojrzałości organizacji według Kwestionariusza ESG, którego wzór stanowi </w:t>
      </w:r>
      <w:r>
        <w:t>Załącznik nr 9</w:t>
      </w:r>
      <w:r>
        <w:t xml:space="preserve"> do Części I SWZ – Instrukcja dla Wykonawców (IDW), zgodnie z instrukcją oceny Kwestionariusza ESG stanowiącą </w:t>
      </w:r>
      <w:r>
        <w:t>Załącznik nr 10</w:t>
      </w:r>
      <w:r>
        <w:t xml:space="preserve"> do Części I SWZ – Instrukcja dla Wykonawców (IDW).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t>W</w:t>
      </w:r>
      <w:r>
        <w:rPr>
          <w:color w:val="000000"/>
        </w:rPr>
        <w:t xml:space="preserve"> przypadku złożenia przez Wykonawców dokumentów zawierających dane w innych wa</w:t>
      </w:r>
      <w:r>
        <w:rPr>
          <w:color w:val="000000"/>
        </w:rPr>
        <w:t>lutach niż PLN, Zamawiający jako kurs przeliczeniowy waluty przyjmie średni kurs NBP dla danej waluty z daty wszczęcia Postępowania.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Wykonawcy</w:t>
      </w:r>
      <w:r>
        <w:rPr>
          <w:color w:val="000000"/>
        </w:rPr>
        <w:t xml:space="preserve"> wspólnie ubiegający się o udzielenie Zamówienia są zobowiązani do wykazania braku zaistnienia przesłanek wyklucze</w:t>
      </w:r>
      <w:r>
        <w:rPr>
          <w:color w:val="000000"/>
        </w:rPr>
        <w:t>nia, o których mowa w pkt 1.1.-1.</w:t>
      </w:r>
      <w:r>
        <w:t>7</w:t>
      </w:r>
      <w:r>
        <w:rPr>
          <w:color w:val="000000"/>
        </w:rPr>
        <w:t>. powyżej</w:t>
      </w:r>
      <w:r>
        <w:t xml:space="preserve">, oraz spełnianie warunku udziału w Postępowaniu, o którym mowa w pkt 3.1.4. powyżej, </w:t>
      </w:r>
      <w:r>
        <w:rPr>
          <w:color w:val="000000"/>
        </w:rPr>
        <w:t xml:space="preserve">w stosunku do każdego z </w:t>
      </w:r>
      <w:r>
        <w:t>w</w:t>
      </w:r>
      <w:r>
        <w:rPr>
          <w:color w:val="000000"/>
        </w:rPr>
        <w:t>ykonawców wspólnie ubiegających się o udzielenie Zamówienia</w:t>
      </w:r>
      <w:r>
        <w:t>.</w:t>
      </w:r>
      <w:r>
        <w:br/>
      </w:r>
      <w:r>
        <w:br/>
        <w:t>Spełnianie</w:t>
      </w:r>
      <w:r>
        <w:rPr>
          <w:color w:val="000000"/>
        </w:rPr>
        <w:t xml:space="preserve"> warunków udziału w Postępowan</w:t>
      </w:r>
      <w:r>
        <w:rPr>
          <w:color w:val="000000"/>
        </w:rPr>
        <w:t>iu, o których mowa w pkt 3.1.-3.3 powyżej, można wykazać łącznie</w:t>
      </w:r>
      <w:r>
        <w:t>. Przez możliwość łącznego wykazania spełniania warunków Zamawiający rozumie sytuację, w której dany wykonawca wspólnie ubiegający się o udzielenie zamówienia (konsorcjant) spełnia dany warune</w:t>
      </w:r>
      <w:r>
        <w:t>k udziału w postępowaniu (zgodnie z podziałem tych warunków dokonanym przez Zamawiającego), którego nie musi w takim przypadku spełniać inny konsorcjant.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odniesieniu do warunków w zakresie posiadanej wiedzy i doświadczenia </w:t>
      </w:r>
      <w:r>
        <w:t>w</w:t>
      </w:r>
      <w:r>
        <w:rPr>
          <w:color w:val="000000"/>
        </w:rPr>
        <w:t>ykonawcy wspólnie ubiegający s</w:t>
      </w:r>
      <w:r>
        <w:rPr>
          <w:color w:val="000000"/>
        </w:rPr>
        <w:t>ię o udzielenie Zamówienia mogą polegać na zdolnościach tych z </w:t>
      </w:r>
      <w:r>
        <w:t>w</w:t>
      </w:r>
      <w:r>
        <w:rPr>
          <w:color w:val="000000"/>
        </w:rPr>
        <w:t xml:space="preserve">ykonawców, którzy wykonają </w:t>
      </w:r>
      <w:r>
        <w:t>czynności</w:t>
      </w:r>
      <w:r>
        <w:rPr>
          <w:color w:val="000000"/>
        </w:rPr>
        <w:t>, do realizacji których te zdolności są wymagane.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może polegać na zasobach podmiotów trzecich w zakresie spełnienia warunków udziału, o których mo</w:t>
      </w:r>
      <w:r>
        <w:rPr>
          <w:color w:val="000000"/>
        </w:rPr>
        <w:t>wa w pkt 3.1.</w:t>
      </w:r>
      <w:r>
        <w:t>-</w:t>
      </w:r>
      <w:r>
        <w:rPr>
          <w:color w:val="000000"/>
        </w:rPr>
        <w:t>3.3.</w:t>
      </w:r>
      <w:r>
        <w:t xml:space="preserve"> </w:t>
      </w:r>
      <w:r>
        <w:rPr>
          <w:color w:val="000000"/>
        </w:rPr>
        <w:t>powyżej, niezależnie od charakteru prawnego łączących go z nimi stosunków. W takim wypadku Wykonawca wraz z ofertą przedkłada zobowiązanie do udostępnienia zasobów podmiotu trzeciego na wzorze stanowiącym Załącznik nr 7 do Części I SWZ –</w:t>
      </w:r>
      <w:r>
        <w:rPr>
          <w:color w:val="000000"/>
        </w:rPr>
        <w:t xml:space="preserve"> Instrukcja dla Wykonawców (IDW) określające: 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warunek udziału, którego dotyczy zobowiązanie,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 xml:space="preserve">zakres udziału podmiotu przy wykonywaniu Zamówienia (w przypadku warunku w zakresie posiadanej wiedzy i doświadczenia należy wskazać część Zamówienia, </w:t>
      </w:r>
      <w:r>
        <w:t xml:space="preserve">którą </w:t>
      </w:r>
      <w:r>
        <w:rPr>
          <w:color w:val="000000"/>
        </w:rPr>
        <w:t>podmi</w:t>
      </w:r>
      <w:r>
        <w:rPr>
          <w:color w:val="000000"/>
        </w:rPr>
        <w:t xml:space="preserve">ot trzeci </w:t>
      </w:r>
      <w:r>
        <w:t>wykona</w:t>
      </w:r>
      <w:r>
        <w:rPr>
          <w:color w:val="000000"/>
        </w:rPr>
        <w:t xml:space="preserve"> jako podwykonawca),</w:t>
      </w:r>
    </w:p>
    <w:p w:rsidR="00791802" w:rsidRDefault="00283407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 przypadku potencjału osobowego wskazanie jaką funkcj</w:t>
      </w:r>
      <w:r>
        <w:t>ę</w:t>
      </w:r>
      <w:r>
        <w:rPr>
          <w:color w:val="000000"/>
        </w:rPr>
        <w:t xml:space="preserve"> będzie pełniła osoba w toku realizacji Zamówienia.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Nie</w:t>
      </w:r>
      <w:r>
        <w:rPr>
          <w:color w:val="000000"/>
        </w:rPr>
        <w:t xml:space="preserve"> </w:t>
      </w:r>
      <w:r>
        <w:t>dochodzi</w:t>
      </w:r>
      <w:r>
        <w:rPr>
          <w:color w:val="000000"/>
        </w:rPr>
        <w:t xml:space="preserve"> do udostępnienia zasobów, jeżeli podmiotem udostępniającym jest osoba fizyczna lub osoba fizyczna p</w:t>
      </w:r>
      <w:r>
        <w:rPr>
          <w:color w:val="000000"/>
        </w:rPr>
        <w:t xml:space="preserve">rowadząca działalność gospodarczą udostępniająca </w:t>
      </w:r>
      <w:r>
        <w:t>“</w:t>
      </w:r>
      <w:r>
        <w:rPr>
          <w:color w:val="000000"/>
        </w:rPr>
        <w:t>sama siebie</w:t>
      </w:r>
      <w:r>
        <w:t>”</w:t>
      </w:r>
      <w:r>
        <w:rPr>
          <w:color w:val="000000"/>
        </w:rPr>
        <w:t xml:space="preserve">. W takim przypadku Wykonawca potwierdza w </w:t>
      </w:r>
      <w:r>
        <w:t>W</w:t>
      </w:r>
      <w:r>
        <w:rPr>
          <w:color w:val="000000"/>
        </w:rPr>
        <w:t xml:space="preserve">ykazie </w:t>
      </w:r>
      <w:r>
        <w:t>O</w:t>
      </w:r>
      <w:r>
        <w:rPr>
          <w:color w:val="000000"/>
        </w:rPr>
        <w:t>sób, że dysponuje bezpośrednio taką osobą na dzień składania ofert.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polegania na zasobach podmiotów trzecich w zakresie posiadanej</w:t>
      </w:r>
      <w:r>
        <w:rPr>
          <w:color w:val="000000"/>
        </w:rPr>
        <w:t xml:space="preserve"> wiedzy i doświadczenia Zamawiający wymaga, aby takie podmioty </w:t>
      </w:r>
      <w:r>
        <w:t>wykonały roboty budowlane lub usługi, do realizacji których te zdolności są wymagane.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może na każdym etapie Postępowania uznać, że Wykonawca nie posiada wymaganych zdolności (nie sp</w:t>
      </w:r>
      <w:r>
        <w:rPr>
          <w:color w:val="000000"/>
        </w:rPr>
        <w:t>ełnia warunku udziału) jeżeli zaangażowanie zasobów Wykonawcy lub podmiotów udostępniających zasoby Wykonawcy w inne przedsięwzięcia gospodarcze może mieć negatywny wpływ na realizację Zamówienia.</w:t>
      </w:r>
    </w:p>
    <w:p w:rsidR="00791802" w:rsidRDefault="002834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t xml:space="preserve"> powinien wykazać, że w stosunku do podmiotu udostępniającego zasoby nie zachodzą przesłanki wykluczenia, o których mowa w pkt 1.1.-1.7. powyżej.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48" w:name="_oy17chfkcozx" w:colFirst="0" w:colLast="0"/>
      <w:bookmarkEnd w:id="48"/>
      <w:r>
        <w:rPr>
          <w:rFonts w:ascii="Arial" w:eastAsia="Arial" w:hAnsi="Arial" w:cs="Arial"/>
          <w:sz w:val="28"/>
          <w:szCs w:val="28"/>
        </w:rPr>
        <w:t>Warunki realizacji Zamówienia</w:t>
      </w:r>
    </w:p>
    <w:p w:rsidR="00791802" w:rsidRDefault="00283407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566"/>
        <w:rPr>
          <w:color w:val="000000"/>
          <w:highlight w:val="white"/>
        </w:rPr>
      </w:pPr>
      <w:bookmarkStart w:id="49" w:name="_uoowvns4z6rn" w:colFirst="0" w:colLast="0"/>
      <w:bookmarkEnd w:id="49"/>
      <w:r>
        <w:rPr>
          <w:color w:val="000000"/>
          <w:highlight w:val="white"/>
        </w:rPr>
        <w:t>Termin realizacji Zamówienia:</w:t>
      </w:r>
      <w:r>
        <w:rPr>
          <w:highlight w:val="white"/>
        </w:rPr>
        <w:t xml:space="preserve"> do dnia 06.12.2026r.</w:t>
      </w:r>
      <w:r>
        <w:rPr>
          <w:highlight w:val="white"/>
        </w:rPr>
        <w:t>,</w:t>
      </w:r>
      <w:r>
        <w:rPr>
          <w:highlight w:val="white"/>
        </w:rPr>
        <w:t xml:space="preserve"> </w:t>
      </w:r>
      <w:r>
        <w:rPr>
          <w:highlight w:val="white"/>
        </w:rPr>
        <w:t xml:space="preserve">zgodnie z harmonogramem rzeczowo-finansowym stanowiącym Załącznik nr </w:t>
      </w:r>
      <w:r>
        <w:rPr>
          <w:highlight w:val="white"/>
        </w:rPr>
        <w:t>2</w:t>
      </w:r>
      <w:r>
        <w:rPr>
          <w:highlight w:val="white"/>
        </w:rPr>
        <w:t xml:space="preserve"> </w:t>
      </w:r>
      <w:r>
        <w:rPr>
          <w:highlight w:val="white"/>
        </w:rPr>
        <w:t>Część</w:t>
      </w:r>
      <w:r>
        <w:rPr>
          <w:highlight w:val="white"/>
        </w:rPr>
        <w:t xml:space="preserve"> III SWZ </w:t>
      </w:r>
      <w:r>
        <w:t>- Wzór Umowy</w:t>
      </w:r>
      <w:r>
        <w:rPr>
          <w:highlight w:val="white"/>
        </w:rPr>
        <w:t>.</w:t>
      </w:r>
    </w:p>
    <w:p w:rsidR="00791802" w:rsidRDefault="00283407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566"/>
        <w:rPr>
          <w:color w:val="000000"/>
        </w:rPr>
      </w:pPr>
      <w:r>
        <w:rPr>
          <w:color w:val="000000"/>
        </w:rPr>
        <w:t>Wszelkie rozliczenia związane z realizacją Zamówienia dokonywane będą w PLN.</w:t>
      </w:r>
    </w:p>
    <w:p w:rsidR="00791802" w:rsidRDefault="00283407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566"/>
        <w:rPr>
          <w:color w:val="000000"/>
        </w:rPr>
      </w:pPr>
      <w:bookmarkStart w:id="50" w:name="_68nxsiuyc92d" w:colFirst="0" w:colLast="0"/>
      <w:bookmarkEnd w:id="50"/>
      <w:r>
        <w:rPr>
          <w:color w:val="000000"/>
        </w:rPr>
        <w:t xml:space="preserve">Szczegółowe warunki realizacji przedmiotu Zamówienia, w tym </w:t>
      </w:r>
      <w:r>
        <w:t>prawa i obowiązki st</w:t>
      </w:r>
      <w:r>
        <w:t>ron oraz określenie warunków istotnych zmian umowy,</w:t>
      </w:r>
      <w:r>
        <w:rPr>
          <w:color w:val="000000"/>
        </w:rPr>
        <w:t xml:space="preserve"> określone zostały w Części III SWZ - Wzór Umowy. 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1" w:name="_fp9riqoikbw6" w:colFirst="0" w:colLast="0"/>
      <w:bookmarkEnd w:id="51"/>
      <w:r>
        <w:rPr>
          <w:rFonts w:ascii="Arial" w:eastAsia="Arial" w:hAnsi="Arial" w:cs="Arial"/>
          <w:sz w:val="28"/>
          <w:szCs w:val="28"/>
        </w:rPr>
        <w:t>Opis sposobu przygotowania i składania ofert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Termin</w:t>
      </w:r>
      <w:r>
        <w:rPr>
          <w:b/>
          <w:color w:val="000000"/>
        </w:rPr>
        <w:t xml:space="preserve"> na złożenie ofert ustala się na dzie</w:t>
      </w:r>
      <w:r>
        <w:rPr>
          <w:b/>
        </w:rPr>
        <w:t>ń: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>28.07</w:t>
      </w:r>
      <w:r>
        <w:rPr>
          <w:b/>
          <w:color w:val="FF0000"/>
        </w:rPr>
        <w:t>.202</w:t>
      </w:r>
      <w:r>
        <w:rPr>
          <w:b/>
          <w:color w:val="FF0000"/>
        </w:rPr>
        <w:t>5 r.</w:t>
      </w:r>
      <w:r>
        <w:rPr>
          <w:b/>
          <w:color w:val="FF0000"/>
        </w:rPr>
        <w:t xml:space="preserve"> do godz. 12:00. </w:t>
      </w:r>
    </w:p>
    <w:p w:rsidR="00791802" w:rsidRDefault="00283407">
      <w:pPr>
        <w:ind w:left="709"/>
      </w:pPr>
      <w:r>
        <w:t>Złożenie</w:t>
      </w:r>
      <w:r>
        <w:t xml:space="preserve"> oferty po terminie nie </w:t>
      </w:r>
      <w:r>
        <w:t>jest możliwe.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Złożone</w:t>
      </w:r>
      <w:r>
        <w:rPr>
          <w:color w:val="000000"/>
        </w:rPr>
        <w:t xml:space="preserve"> oferty nie podlegają negocjacjom</w:t>
      </w:r>
      <w:r>
        <w:t xml:space="preserve">. </w:t>
      </w:r>
      <w:r>
        <w:rPr>
          <w:color w:val="000000"/>
        </w:rPr>
        <w:t xml:space="preserve">Złożenie przez Wykonawcę oferty oznacza akceptację przez niego wszystkich warunków określonych w SWZ. 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Niedopuszczalne</w:t>
      </w:r>
      <w:r>
        <w:rPr>
          <w:color w:val="000000"/>
        </w:rPr>
        <w:t xml:space="preserve"> jest złożenie przez Wykonawcę więcej niż jednej oferty</w:t>
      </w:r>
      <w:r>
        <w:t>.</w:t>
      </w:r>
      <w:r>
        <w:rPr>
          <w:color w:val="000000"/>
        </w:rPr>
        <w:t xml:space="preserve"> Zamawiający nie dopuszcza</w:t>
      </w:r>
      <w:r>
        <w:rPr>
          <w:color w:val="000000"/>
        </w:rPr>
        <w:t xml:space="preserve"> składania ofert wariantowych. 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Ofertę</w:t>
      </w:r>
      <w:r>
        <w:rPr>
          <w:color w:val="000000"/>
        </w:rPr>
        <w:t xml:space="preserve"> należy złożyć za pośrednictwem </w:t>
      </w:r>
      <w:r>
        <w:t>BK2021</w:t>
      </w:r>
      <w:r>
        <w:rPr>
          <w:color w:val="000000"/>
        </w:rPr>
        <w:t xml:space="preserve">. Szczegółowe wymagania co do poszczególnych elementów oferty zostały opisane w pkt. </w:t>
      </w:r>
      <w:r>
        <w:t>10</w:t>
      </w:r>
      <w:r>
        <w:rPr>
          <w:color w:val="000000"/>
        </w:rPr>
        <w:t xml:space="preserve"> poniżej. 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składa ofertę poprzez: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>wypełnienie formularza oferty w postaci elektronicznej</w:t>
      </w:r>
      <w:r>
        <w:rPr>
          <w:color w:val="000000"/>
        </w:rPr>
        <w:t>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dodanie pozostałych dokumentów (załączników) określonych w pkt. 10 poniżej - używając przycisku „Dodaj załącznik”</w:t>
      </w:r>
      <w:r>
        <w:rPr>
          <w:color w:val="000000"/>
        </w:rPr>
        <w:t>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winien opisać załączniki nazwą umożliwiającą ich merytoryczną identyfikację</w:t>
      </w:r>
      <w:r>
        <w:rPr>
          <w:color w:val="000000"/>
        </w:rPr>
        <w:t>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Złożenie</w:t>
      </w:r>
      <w:r>
        <w:t xml:space="preserve"> oferty wraz z załącznikami następuje poprzez polecenie „Złóż ofertę”</w:t>
      </w:r>
      <w:r>
        <w:rPr>
          <w:color w:val="000000"/>
        </w:rPr>
        <w:t>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t xml:space="preserve"> przypadku braku wypełnienia pól z ceną lub nazwą załącznika (jeśli jakiś został dodany) oferta nie zostanie złożona. Jeśli dodanie oferty przebiegnie pomyślnie, wyświetli si</w:t>
      </w:r>
      <w:r>
        <w:t>ę informacja o statusie oferty: „złożona”.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Upoważnienie</w:t>
      </w:r>
      <w:r>
        <w:rPr>
          <w:color w:val="000000"/>
        </w:rPr>
        <w:t xml:space="preserve"> dla osób podpisujących ofertę powinno wynikać z odpowiednich dokumentów rejestrowych lub z pełnomocnictwa. Osoba składająca ofertę w imieniu Wykonawcy powinna zostać wskazana w formularzu oferty w pos</w:t>
      </w:r>
      <w:r>
        <w:rPr>
          <w:color w:val="000000"/>
        </w:rPr>
        <w:t xml:space="preserve">taci elektronicznej wypełnianym i składanym </w:t>
      </w:r>
      <w:r>
        <w:t>za pośrednictwem BK2021</w:t>
      </w:r>
      <w:r>
        <w:rPr>
          <w:color w:val="000000"/>
        </w:rPr>
        <w:t>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Wraz</w:t>
      </w:r>
      <w:r>
        <w:rPr>
          <w:color w:val="000000"/>
        </w:rPr>
        <w:t xml:space="preserve"> z wypełnieniem formularza oferty na </w:t>
      </w:r>
      <w:r>
        <w:t>BK2021</w:t>
      </w:r>
      <w:r>
        <w:rPr>
          <w:color w:val="000000"/>
        </w:rPr>
        <w:t>, Wykonawcy zobowiązani są załączyć następujące dokumenty (załączniki):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Formularz</w:t>
      </w:r>
      <w:r>
        <w:rPr>
          <w:b/>
          <w:color w:val="000000"/>
        </w:rPr>
        <w:t xml:space="preserve"> oferty</w:t>
      </w:r>
      <w:r>
        <w:rPr>
          <w:color w:val="000000"/>
        </w:rPr>
        <w:t>, którego wzór stanowi Załącznik nr 1 do Części I SW</w:t>
      </w:r>
      <w:r>
        <w:rPr>
          <w:color w:val="000000"/>
        </w:rPr>
        <w:t xml:space="preserve">Z – Instrukcja dla Wykonawców (IDW),; 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Odpis lub informacja z Krajowego Rejestru Sądowego lub z Centralnej Ewidencji i Informacji o Działalności Gospodarczej - </w:t>
      </w:r>
      <w:r>
        <w:rPr>
          <w:color w:val="000000"/>
        </w:rPr>
        <w:t>wystawiony nie wcześniej niż 6 miesięcy przed upływem terminu składania ofert, potwierdzający br</w:t>
      </w:r>
      <w:r>
        <w:rPr>
          <w:color w:val="000000"/>
        </w:rPr>
        <w:t>ak zaistnienia wobec Wykonawcy przesłanki wykluczenia określonej w Rozdziale VI pkt 1.1. Części I SWZ – Instrukcja dla Wykonawców (IDW), jeżeli Wykonawca ma siedzibę lub miejsce zamieszkania poza terytorium Rzeczypospolitej Polskiej stosuje się zapisy opis</w:t>
      </w:r>
      <w:r>
        <w:rPr>
          <w:color w:val="000000"/>
        </w:rPr>
        <w:t>ane w pkt. 12-13 poniżej;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Zaświadczenie właściwego naczelnika Urzędu Skarbowego </w:t>
      </w:r>
      <w:r>
        <w:rPr>
          <w:color w:val="000000"/>
        </w:rPr>
        <w:t>potwierdzające odpowiednio, że Wykonawca nie zalega z opłacaniem podatków lub zaświadczenie, że Wykonawca uzyskał przewidziane prawem zwolnienie, odroczenie lub rozłożenie na r</w:t>
      </w:r>
      <w:r>
        <w:rPr>
          <w:color w:val="000000"/>
        </w:rPr>
        <w:t>aty zaległych płatności lub wstrzymanie w całości wykonania decyzji właściwego organu – wystawione nie wcześniej niż 3 miesiące przed upływem terminu składania ofert</w:t>
      </w:r>
      <w:r>
        <w:t>,</w:t>
      </w:r>
      <w:r>
        <w:rPr>
          <w:color w:val="000000"/>
        </w:rPr>
        <w:t xml:space="preserve"> potwierdzające brak zaistnienia wobec Wykonawcy przesłanki wykluczenia określonej w Rozdz</w:t>
      </w:r>
      <w:r>
        <w:rPr>
          <w:color w:val="000000"/>
        </w:rPr>
        <w:t>iale VI pkt 1.2. Części I SWZ – Instrukcja dla Wykonawców (IDW), jeżeli Wykonawca ma siedzibę lub miejsce zamieszkania poza terytorium Rzeczypospolitej Polskiej stosuje się zapisy opisane w pkt. 12-13 poniżej;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>Zaświadczenie właściwego oddziału Zakładu Ubez</w:t>
      </w:r>
      <w:r>
        <w:rPr>
          <w:b/>
          <w:color w:val="000000"/>
        </w:rPr>
        <w:t xml:space="preserve">pieczeń Społecznych lub Kasy Rolniczego Ubezpieczenia Społecznego </w:t>
      </w:r>
      <w:r>
        <w:rPr>
          <w:color w:val="000000"/>
        </w:rPr>
        <w:t>potwierdzające, że Wykonawca nie zalega z opłacaniem składek na ubezpieczenie zdrowotne i społeczne, lub zaświadczenie, że Wykonawca uzyskał przewidziane prawem zwolnienie, odroczenie lub ro</w:t>
      </w:r>
      <w:r>
        <w:rPr>
          <w:color w:val="000000"/>
        </w:rPr>
        <w:t xml:space="preserve">złożenie na raty zaległych płatności lub wstrzymanie w całości wykonania decyzji właściwego organu – wystawione nie wcześniej niż 3 miesiące przed upływem terminu składania ofert, </w:t>
      </w:r>
      <w:r>
        <w:rPr>
          <w:color w:val="000000"/>
        </w:rPr>
        <w:lastRenderedPageBreak/>
        <w:t>potwierdzające brak zaistnienia wobec Wykonawcy przesłanki wykluczenia okreś</w:t>
      </w:r>
      <w:r>
        <w:rPr>
          <w:color w:val="000000"/>
        </w:rPr>
        <w:t>lonej w Rozdziale VI pkt 1.3. Części I SWZ – Instrukcja dla Wykonawców (IDW), jeżeli Wykonawca ma siedzibę lub miejsce zamieszkania poza terytorium Rzeczypospolitej Polskiej stosuje się zapisy opisane w pkt. 12-13 poniżej;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>Oświadczenie o powiązaniach kapit</w:t>
      </w:r>
      <w:r>
        <w:rPr>
          <w:b/>
          <w:color w:val="000000"/>
        </w:rPr>
        <w:t xml:space="preserve">ałowych i osobowych, którego wzór stanowi Załącznik nr 6 do Części I SWZ – </w:t>
      </w:r>
      <w:r>
        <w:rPr>
          <w:color w:val="000000"/>
        </w:rPr>
        <w:t>Instrukcja dla Wykonawców (IDW), potwierdzające brak zaistnienia wobec Wykonawcy przesłanki wykluczenia określonej w Rozdziale VI pkt 1.4. Części I SWZ – Instrukcja dla Wykonawców (</w:t>
      </w:r>
      <w:r>
        <w:rPr>
          <w:color w:val="000000"/>
        </w:rPr>
        <w:t>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Kwestionariusz </w:t>
      </w:r>
      <w:r>
        <w:rPr>
          <w:b/>
        </w:rPr>
        <w:t>ESG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którego wzór stanowi </w:t>
      </w:r>
      <w:r>
        <w:t>Załącznik nr 9</w:t>
      </w:r>
      <w:r>
        <w:rPr>
          <w:color w:val="000000"/>
        </w:rPr>
        <w:t xml:space="preserve"> do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Oświadczenie o braku zaistnienia przesłanek wykluczenia, </w:t>
      </w:r>
      <w:r>
        <w:rPr>
          <w:color w:val="000000"/>
        </w:rPr>
        <w:t>o których mowa w Rozdziale VI pkt 1.5. Części I SWZ – Instrukcja dla Wykonawców (IDW),</w:t>
      </w:r>
      <w:r>
        <w:rPr>
          <w:color w:val="000000"/>
        </w:rPr>
        <w:t xml:space="preserve"> którego wzór stanowi </w:t>
      </w:r>
      <w:r>
        <w:t>Załącznik nr 8</w:t>
      </w:r>
      <w:r>
        <w:rPr>
          <w:color w:val="000000"/>
        </w:rPr>
        <w:t xml:space="preserve"> do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Dokument pełnomocnictwa określający jego zakres i podpisany przez osoby uprawnione do reprezentacji Wykonawcy </w:t>
      </w:r>
      <w:r>
        <w:rPr>
          <w:color w:val="000000"/>
        </w:rPr>
        <w:t>- w przypadku, gdy oferta nie została podpisana przez osob</w:t>
      </w:r>
      <w:r>
        <w:rPr>
          <w:color w:val="000000"/>
        </w:rPr>
        <w:t>ę uprawnioną do reprezentacji Wykonawcy określoną w odpowiednim rejestrze lub innym dokumencie właściwym dla danej formy organizacyjnej Wykonawcy;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Zobowiązanie do udostępnienia zasobów podmiotu trzeciego, </w:t>
      </w:r>
      <w:r>
        <w:rPr>
          <w:color w:val="000000"/>
        </w:rPr>
        <w:t>którego wzór stanowi Załącznik nr 7 do Części I SWZ</w:t>
      </w:r>
      <w:r>
        <w:rPr>
          <w:color w:val="000000"/>
        </w:rPr>
        <w:t xml:space="preserve"> – Instrukcja dla Wykonawców (IDW) - w przypadku polegania przez Wykonawcę na zasobach podmiotu trzeciego;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Oświadczenie o podwykonawcach, </w:t>
      </w:r>
      <w:r>
        <w:rPr>
          <w:color w:val="000000"/>
        </w:rPr>
        <w:t xml:space="preserve">którego wzór stanowi Załącznik nr 3 do Części I SWZ – Instrukcja dla Wykonawców (IDW) - w przypadku, jeżeli Wykonawca </w:t>
      </w:r>
      <w:r>
        <w:rPr>
          <w:color w:val="000000"/>
        </w:rPr>
        <w:t>zamierza realizować zamówienie przy pomocy podwykonawcy/ów;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Pełnomocnictwo do reprezentowania wykonawców </w:t>
      </w:r>
      <w:r>
        <w:rPr>
          <w:color w:val="000000"/>
        </w:rPr>
        <w:t>wspólnie ubiegających się o udzielenie Zamówienia w Postępowaniu i do zawarcia umowy, zgodnie z wymaganiami wskazanymi w Rozdziale X pkt 2. Części I SW</w:t>
      </w:r>
      <w:r>
        <w:rPr>
          <w:color w:val="000000"/>
        </w:rPr>
        <w:t>Z – Instrukcja dla Wykonawców (IDW) – w przypadku wykonawców wspólnie ubiegających się o udzielenie Zamówienia;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Wykaz Zamówień, którego wzór stanowi Załącznik nr 4 do Części I SWZ – Instrukcja dla Wykonawców (IDW) </w:t>
      </w:r>
      <w:r>
        <w:rPr>
          <w:color w:val="000000"/>
        </w:rPr>
        <w:t>– wraz z dowodami potwierdzającymi, że zamówienia wskazane w wykazie zostały wykonane należycie, przy czym dowodami, o których mowa, są referencje/protokoły odbioru bądź inne dokumenty wystawione przez podmiot, na rzecz którego roboty były wykonywane, potw</w:t>
      </w:r>
      <w:r>
        <w:rPr>
          <w:color w:val="000000"/>
        </w:rPr>
        <w:t>ierdzający spełnianie przez Wykonawcę warunku udziału określonego w Rozdziale VI pkt 3.1.1.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lastRenderedPageBreak/>
        <w:t xml:space="preserve">Wykaz Osób, </w:t>
      </w:r>
      <w:r>
        <w:rPr>
          <w:color w:val="000000"/>
        </w:rPr>
        <w:t>którego wzór stanowi Załącznik nr 5 do Części I SWZ – Instrukcja dla Wykonawców (IDW) – potwierdzający s</w:t>
      </w:r>
      <w:r>
        <w:rPr>
          <w:color w:val="000000"/>
        </w:rPr>
        <w:t>pełnianie przez Wykonawcę warunku udziału określonego w Rozdziale VI pkt 3.1.2.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Polisa </w:t>
      </w:r>
      <w:r>
        <w:rPr>
          <w:color w:val="000000"/>
        </w:rPr>
        <w:t xml:space="preserve">lub inny dokument potwierdzający spełnianie przez Wykonawcę warunku udziału określonego w Rozdziale VI pkt 3.1.3 lit. a) </w:t>
      </w:r>
      <w:r>
        <w:rPr>
          <w:color w:val="000000"/>
        </w:rPr>
        <w:t>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Sprawozdanie finansowe </w:t>
      </w:r>
      <w:r>
        <w:rPr>
          <w:color w:val="000000"/>
        </w:rPr>
        <w:t>albo jego część, w przypadku gdy sporządzenie sprawozdania wymagane jest przepisami kraju, w którym Wykonawca ma siedzibę lub miejsce zamieszkania, a jeżeli podlega ono badaniu przez firmę audytorską zgodnie z przepisami o rachunkowości, również odpowiedni</w:t>
      </w:r>
      <w:r>
        <w:rPr>
          <w:color w:val="000000"/>
        </w:rPr>
        <w:t xml:space="preserve">o ze sprawozdaniem z badania sprawozdania finansowego, a w przypadku Wykonawców niezobowiązanych do sporządzenia sprawozdania finansowego, innych dokumentów określających w szczególności przychody oraz aktywa i zobowiązania - za okres </w:t>
      </w:r>
      <w:r>
        <w:t>ostatnich 3 lat obrot</w:t>
      </w:r>
      <w:r>
        <w:t>owych</w:t>
      </w:r>
      <w:r>
        <w:rPr>
          <w:color w:val="000000"/>
        </w:rPr>
        <w:t>, a jeżeli okres prowadzenia działalności jest krótszy - za ten okres, potwierdzające spełnianie przez Wykonawcę warunku udziału określonego w Rozdziale VI pkt 3.1.3 lit. b)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Informacja banku </w:t>
      </w:r>
      <w:r>
        <w:rPr>
          <w:color w:val="000000"/>
        </w:rPr>
        <w:t>potwierdzają</w:t>
      </w:r>
      <w:r>
        <w:rPr>
          <w:color w:val="000000"/>
        </w:rPr>
        <w:t>ca wysokość posiadanych środków finansowych lub zdolność kredytową Wykonawcy, w okresie nie wcześniejszym niż 3 miesiące przed upływem terminu składania ofert, potwierdzająca spełnianie przez Wykonawcę warunku udziału określonego w Rozdziale VI pkt 3.1.3 l</w:t>
      </w:r>
      <w:r>
        <w:rPr>
          <w:color w:val="000000"/>
        </w:rPr>
        <w:t>it. c) Części I SWZ – Instrukcja dla Wykonawców (IDW);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  <w:color w:val="000000"/>
        </w:rPr>
        <w:t xml:space="preserve">Dowód wniesienia wadium </w:t>
      </w:r>
      <w:r>
        <w:rPr>
          <w:color w:val="000000"/>
        </w:rPr>
        <w:t>zgodnie z wymaganiami wskazanymi w Rozdziale XIV pkt 5. Części I SWZ – Instrukcja dla Wykonawców (IDW).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O</w:t>
      </w:r>
      <w:r>
        <w:rPr>
          <w:color w:val="000000"/>
        </w:rPr>
        <w:t xml:space="preserve"> ile nie zastrzeżono inaczej: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Jeżeli</w:t>
      </w:r>
      <w:r>
        <w:rPr>
          <w:color w:val="000000"/>
        </w:rPr>
        <w:t xml:space="preserve"> dany dokument został </w:t>
      </w:r>
      <w:r>
        <w:rPr>
          <w:b/>
          <w:color w:val="000000"/>
        </w:rPr>
        <w:t>w oryginale wy</w:t>
      </w:r>
      <w:r>
        <w:rPr>
          <w:b/>
          <w:color w:val="000000"/>
        </w:rPr>
        <w:t>tworzony w formie elektronicznej</w:t>
      </w:r>
      <w:r>
        <w:rPr>
          <w:color w:val="000000"/>
        </w:rPr>
        <w:t xml:space="preserve"> (opatrzonej kwalifikowanym podpisem elektronicznym), powinien zostać złożony za pośrednictwem </w:t>
      </w:r>
      <w:r>
        <w:t>BK2021</w:t>
      </w:r>
      <w:r>
        <w:rPr>
          <w:color w:val="000000"/>
        </w:rPr>
        <w:t xml:space="preserve"> w tej formie, tj. w postaci pliku zawierającego kwalifikowany podpis elektroniczny wystawcy dokumentu. Inne dokumenty elek</w:t>
      </w:r>
      <w:r>
        <w:rPr>
          <w:color w:val="000000"/>
        </w:rPr>
        <w:t xml:space="preserve">troniczne (wytworzone bez zastosowania kwalifikowanego podpisu elektronicznego) powinny zostać złożone za pośrednictwem </w:t>
      </w:r>
      <w:r>
        <w:t>BK2021</w:t>
      </w:r>
      <w:r>
        <w:rPr>
          <w:color w:val="000000"/>
        </w:rPr>
        <w:t xml:space="preserve"> w formie, w jakiej zostały wytworzone przez wystawcę danego dokumentu.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Dokumenty, które </w:t>
      </w:r>
      <w:r>
        <w:rPr>
          <w:b/>
          <w:color w:val="000000"/>
        </w:rPr>
        <w:t>w oryginale mają postać pisemną</w:t>
      </w:r>
      <w:r>
        <w:rPr>
          <w:color w:val="000000"/>
        </w:rPr>
        <w:t xml:space="preserve"> (“papiero</w:t>
      </w:r>
      <w:r>
        <w:rPr>
          <w:color w:val="000000"/>
        </w:rPr>
        <w:t xml:space="preserve">wą”), powinny zostać złożone za pośrednictwem </w:t>
      </w:r>
      <w:r>
        <w:t>BK2021</w:t>
      </w:r>
      <w:r>
        <w:rPr>
          <w:color w:val="000000"/>
        </w:rPr>
        <w:t xml:space="preserve"> w postaci zeskanowanej, poświadczonej za zgodność z oryginałem kopii dokumentu. Poświadczenie za zgodność z oryginałem kopii dokumentu następuje poprzez opatrzenie pliku zawierającego skan dokumentu kwal</w:t>
      </w:r>
      <w:r>
        <w:rPr>
          <w:color w:val="000000"/>
        </w:rPr>
        <w:t>ifikowanym podpisem elektronicznym osoby upoważnionej do reprezentowania danego podmiotu, którego dany dokument dotyczy.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Jeżeli</w:t>
      </w:r>
      <w:r>
        <w:rPr>
          <w:color w:val="000000"/>
        </w:rPr>
        <w:t xml:space="preserve"> Wykonawca ma siedzibę lub miejsce zamieszkania poza terytorium Rzeczypospolitej Polskiej, zamiast dokumentów, o których mowa w p</w:t>
      </w:r>
      <w:r>
        <w:rPr>
          <w:color w:val="000000"/>
        </w:rPr>
        <w:t xml:space="preserve">kt 10.2.-10.4. </w:t>
      </w:r>
      <w:r>
        <w:rPr>
          <w:color w:val="000000"/>
        </w:rPr>
        <w:lastRenderedPageBreak/>
        <w:t>powyżej przedkłada inne dokumenty wystawione w kraju, w którym Wykonawca ma siedzibę lub miejsce zamieszkania, potwierdzające odpowiednio, że: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wobec</w:t>
      </w:r>
      <w:r>
        <w:rPr>
          <w:color w:val="000000"/>
        </w:rPr>
        <w:t xml:space="preserve"> Wykonawcy nie otwarto likwidacji ani nie ogłoszono upadłości - wystawione nie wcześniej niż </w:t>
      </w:r>
      <w:r>
        <w:rPr>
          <w:color w:val="000000"/>
        </w:rPr>
        <w:t xml:space="preserve">6 miesięcy przed upływem terminu składania ofert, 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Wykonawca nie zalega z uiszczaniem podatków oraz składek na ubezpieczenie społeczne i zdrowotne albo że uzyskał przewidziane prawem zwolnienie, odroczenie lub rozłożenie na raty zaległych płatności lub wst</w:t>
      </w:r>
      <w:r>
        <w:rPr>
          <w:color w:val="000000"/>
        </w:rPr>
        <w:t>rzymanie w całości wykonania decyzji właściwego organu - wystawione nie wcześniej niż 3 miesiące przed upływem terminu składania ofert.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Jeżeli</w:t>
      </w:r>
      <w:r>
        <w:rPr>
          <w:color w:val="000000"/>
        </w:rPr>
        <w:t xml:space="preserve"> w kraju, w którym Wykonawca ma siedzibę lub miejsce zamieszkania nie wydaje się dokumentów, o których mowa w pkt </w:t>
      </w:r>
      <w:r>
        <w:rPr>
          <w:color w:val="000000"/>
        </w:rPr>
        <w:t>12. powyżej, zastępuje się je dokumentem zawierającym odpowiednio oświadczenie Wykonawcy, ze wskazaniem osoby albo osób uprawnionych do jego reprezentacji, złożone przed notariuszem lub przed organem sądowym, administracyjnym albo organem samorządu zawodow</w:t>
      </w:r>
      <w:r>
        <w:rPr>
          <w:color w:val="000000"/>
        </w:rPr>
        <w:t>ego lub gospodarczego właściwym ze względu na siedzibę lub miejsce zamieszkania Wykonawcy. Oświadczenie powinno być złożone odpowiednio nie wcześniej niż 6 miesięcy lub 3 miesiące przed upływem terminu składania ofert.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wykonawców wspólnie ubieg</w:t>
      </w:r>
      <w:r>
        <w:rPr>
          <w:color w:val="000000"/>
        </w:rPr>
        <w:t>ających się o udzielenie Zamówienia, dokumenty wskazane w pkt 10.2. – 10.</w:t>
      </w:r>
      <w:r>
        <w:t>7</w:t>
      </w:r>
      <w:r>
        <w:rPr>
          <w:color w:val="000000"/>
        </w:rPr>
        <w:t xml:space="preserve">. powyżej składa każdy z </w:t>
      </w:r>
      <w:r>
        <w:t>w</w:t>
      </w:r>
      <w:r>
        <w:rPr>
          <w:color w:val="000000"/>
        </w:rPr>
        <w:t>ykonawców. W przypadku, w który</w:t>
      </w:r>
      <w:r>
        <w:t>m Wykonawca powołuje się na zasoby innego podmiotu, powinien złożyć dokumenty wskazane w pkt 10.2. – 10.7. dla każdego takieg</w:t>
      </w:r>
      <w:r>
        <w:t>o podmiotu.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nie jest zobowiązany do złożenia dokumentów wskazanych w pkt 10.2. – 10.4. powyżej, które Zamawiający posiada, jeżeli Wykonawca wskaże te dokumenty oraz potwierdzi ich prawidłowość i aktualność.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Dokumenty</w:t>
      </w:r>
      <w:r>
        <w:rPr>
          <w:color w:val="000000"/>
        </w:rPr>
        <w:t xml:space="preserve"> wskazane w pkt 10.</w:t>
      </w:r>
      <w:r>
        <w:t>2</w:t>
      </w:r>
      <w:r>
        <w:rPr>
          <w:color w:val="000000"/>
        </w:rPr>
        <w:t>. – 10.1</w:t>
      </w:r>
      <w:r>
        <w:t>6</w:t>
      </w:r>
      <w:r>
        <w:rPr>
          <w:color w:val="000000"/>
        </w:rPr>
        <w:t>.</w:t>
      </w:r>
      <w:r>
        <w:rPr>
          <w:color w:val="000000"/>
        </w:rPr>
        <w:t xml:space="preserve"> powyżej mogą podlegać jednorazowemu uzupełnieniu w odpowiednim zakresie, jeżeli Wykonawca nie złożył danego dokumentu, jest on niekompletny, zawiera błędy lub budzi wskazane przez Zamawiającego wątpliwości. </w:t>
      </w:r>
      <w:r>
        <w:t>Formularz oferty wskazany w pkt 10.1. powyżej po</w:t>
      </w:r>
      <w:r>
        <w:t>dlega uzupełnieniu wyłącznie w zakresie informacji niestanowiących istotnej treści oferty.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może żądać od Wykonawców wyjaśnień dotyczących treści dokumentów wskazanych w pkt 10. powyżej.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poprawia w ofercie: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oczywiste</w:t>
      </w:r>
      <w:r>
        <w:rPr>
          <w:color w:val="000000"/>
        </w:rPr>
        <w:t xml:space="preserve"> omyłki pisarskie;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oczywiste omyłki rachunkowe, z uwzględnieniem konsekwencji rachunkowych dokonanych poprawek;</w:t>
      </w:r>
    </w:p>
    <w:p w:rsidR="00791802" w:rsidRDefault="00283407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 xml:space="preserve">inne omyłki polegające na niezgodności oferty z SWZ, niepowodujące istotnych zmian </w:t>
      </w:r>
      <w:r>
        <w:rPr>
          <w:color w:val="000000"/>
        </w:rPr>
        <w:br/>
        <w:t>w treści oferty;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>- niezwłocznie zawiadamiając o tym Wykonawc</w:t>
      </w:r>
      <w:r>
        <w:rPr>
          <w:color w:val="000000"/>
        </w:rPr>
        <w:t>ę, którego oferta została poprawiona.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w ciągu 3 dni od doręczenia zawiadomienia może poinformować Zamawiającego, iż nie zgadza się na zmiany, o których mowa w pkt. 18. powyżej, w takim przypadku nie zostaną one wprowadzone, a oferta Wykonawcy moż</w:t>
      </w:r>
      <w:r>
        <w:rPr>
          <w:color w:val="000000"/>
        </w:rPr>
        <w:t>e podlegać z tego powodu odrzuceniu jako niezgodna z SWZ.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Oferta</w:t>
      </w:r>
      <w:r>
        <w:rPr>
          <w:color w:val="000000"/>
        </w:rPr>
        <w:t xml:space="preserve"> musi być sporządzona w języku polskim. Dokumenty sporządzone w języku obcym muszą być złożone wraz z tłumaczeniem na język polski.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Wszelkie</w:t>
      </w:r>
      <w:r>
        <w:rPr>
          <w:color w:val="000000"/>
        </w:rPr>
        <w:t xml:space="preserve"> koszty związane z przygotowaniem oferty ponosi Wykonawca.</w:t>
      </w:r>
    </w:p>
    <w:p w:rsidR="00791802" w:rsidRDefault="002834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informuje, że złożone oferty będą mogł</w:t>
      </w:r>
      <w:r>
        <w:t xml:space="preserve">y zostać udostępnione po wyborze najkorzystniejszej oferty, zgodnie z </w:t>
      </w:r>
      <w:r>
        <w:rPr>
          <w:i/>
        </w:rPr>
        <w:t>Wytycznymi w zakresie kwalifikowalności wydatków.</w:t>
      </w:r>
      <w:r>
        <w:rPr>
          <w:color w:val="000000"/>
        </w:rPr>
        <w:t xml:space="preserve"> 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2" w:name="_r0l48ajsw2y5" w:colFirst="0" w:colLast="0"/>
      <w:bookmarkEnd w:id="52"/>
      <w:r>
        <w:rPr>
          <w:rFonts w:ascii="Arial" w:eastAsia="Arial" w:hAnsi="Arial" w:cs="Arial"/>
          <w:sz w:val="28"/>
          <w:szCs w:val="28"/>
        </w:rPr>
        <w:t>Termin związania ofertą</w:t>
      </w:r>
    </w:p>
    <w:p w:rsidR="00791802" w:rsidRDefault="0028340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Termin</w:t>
      </w:r>
      <w:r>
        <w:rPr>
          <w:color w:val="000000"/>
        </w:rPr>
        <w:t xml:space="preserve"> związania ofertą ustala się na </w:t>
      </w:r>
      <w:r>
        <w:rPr>
          <w:b/>
          <w:color w:val="000000"/>
        </w:rPr>
        <w:t>90 dni</w:t>
      </w:r>
      <w:r>
        <w:rPr>
          <w:color w:val="000000"/>
        </w:rPr>
        <w:t xml:space="preserve"> liczonych od upływu terminu składania ofert. Oferta nie przestaje wiązać, gdy wybrana zostanie inna oferta. Wykonawcy przestają być związani ofertami z dniem zawarcia umowy przez Zamawiającego z Wykonawcą, który</w:t>
      </w:r>
      <w:r>
        <w:rPr>
          <w:color w:val="000000"/>
        </w:rPr>
        <w:t xml:space="preserve"> złożył najkorzystniejszą ofertę.</w:t>
      </w:r>
    </w:p>
    <w:p w:rsidR="00791802" w:rsidRDefault="0028340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Zamawiający może zwrócić się do Wykonawców o wyrażenie zgody na wydłużenie terminu związania ofertą o oznaczony okres, nie dłuższy niż 90 dni. W </w:t>
      </w:r>
      <w:r>
        <w:t>takim</w:t>
      </w:r>
      <w:r>
        <w:rPr>
          <w:color w:val="000000"/>
        </w:rPr>
        <w:t xml:space="preserve"> wypadku Zamawiający informuje, że przedłużenie terminu związania ofertą</w:t>
      </w:r>
      <w:r>
        <w:rPr>
          <w:color w:val="000000"/>
        </w:rPr>
        <w:t xml:space="preserve"> jest dopuszczalne tylko z jednoczesnym przedłużeniem okresu ważności wadium albo jeżeli nie jest to możliwe, z wniesieniem nowego wadium na przedłużony okres związania ofertą. Zamawiający informuje, że niewyrażenie zgody na przedłużenie terminu związania </w:t>
      </w:r>
      <w:r>
        <w:rPr>
          <w:color w:val="000000"/>
        </w:rPr>
        <w:t>ofertą skutkuje odrzuceniem oferty. Odmowa wyrażenia zgody na przedłużenie terminu związania ofertą nie powoduje utraty wadium.</w:t>
      </w:r>
    </w:p>
    <w:p w:rsidR="00791802" w:rsidRDefault="00283407">
      <w:pPr>
        <w:numPr>
          <w:ilvl w:val="0"/>
          <w:numId w:val="16"/>
        </w:numPr>
      </w:pPr>
      <w:r>
        <w:t>Wykonawca może samodzielnie wydłużyć termin związania ofertą składając Zamawiającemu stosowne oświadczenie w tym zakresie. Zamaw</w:t>
      </w:r>
      <w:r>
        <w:t>iający może zezwolić Wykonawcom na wydłużenie terminu związania ofertą bez konieczności jednoczesnego przedłużania okresu ważności wadium, czy też wniesienia nowego wadium.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3" w:name="_whjq7kqbsc9f" w:colFirst="0" w:colLast="0"/>
      <w:bookmarkEnd w:id="53"/>
      <w:r>
        <w:rPr>
          <w:rFonts w:ascii="Arial" w:eastAsia="Arial" w:hAnsi="Arial" w:cs="Arial"/>
          <w:sz w:val="28"/>
          <w:szCs w:val="28"/>
        </w:rPr>
        <w:t>Wykonawcy wspólnie ubiegający się o udzielenie Zamówienia</w:t>
      </w:r>
    </w:p>
    <w:p w:rsidR="00791802" w:rsidRDefault="002834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Wykonawcy mogą ubiegać si</w:t>
      </w:r>
      <w:r>
        <w:rPr>
          <w:color w:val="000000"/>
        </w:rPr>
        <w:t xml:space="preserve">ę wspólnie o udzielenie Zamówienia (konsorcjum). </w:t>
      </w:r>
    </w:p>
    <w:p w:rsidR="00791802" w:rsidRDefault="002834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Wykonawcy wspólnie ubiegający się o udzielenie Zamówienia ustanawiają pełnomocnika do reprezentowania ich w Postępowaniu </w:t>
      </w:r>
      <w:r>
        <w:t>lub</w:t>
      </w:r>
      <w:r>
        <w:rPr>
          <w:color w:val="000000"/>
        </w:rPr>
        <w:t xml:space="preserve"> zawarcia umowy. Do oferty należy dołączyć pełnomocnictwo określające osobę pełnom</w:t>
      </w:r>
      <w:r>
        <w:rPr>
          <w:color w:val="000000"/>
        </w:rPr>
        <w:t xml:space="preserve">ocnika, zakres </w:t>
      </w:r>
      <w:r>
        <w:rPr>
          <w:color w:val="000000"/>
        </w:rPr>
        <w:lastRenderedPageBreak/>
        <w:t>reprezentacji oraz zawierające wskazanie Postępowania. Wszelka korespondencja w Postępowaniu prowadzona będzie wyłącznie ze wskazanym pełnomocnikiem.</w:t>
      </w:r>
    </w:p>
    <w:p w:rsidR="00791802" w:rsidRDefault="002834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Odpowiedzialność za wykonanie umowy i wniesienie zabezpieczenia należytego wykonania umowy </w:t>
      </w:r>
      <w:r>
        <w:rPr>
          <w:color w:val="000000"/>
        </w:rPr>
        <w:t xml:space="preserve">wykonawców wspólnie ubiegających się o udzielenie Zamówienia </w:t>
      </w:r>
      <w:r>
        <w:rPr>
          <w:b/>
          <w:color w:val="000000"/>
        </w:rPr>
        <w:t>jest solidarna</w:t>
      </w:r>
      <w:r>
        <w:rPr>
          <w:color w:val="000000"/>
        </w:rPr>
        <w:t xml:space="preserve">. </w:t>
      </w:r>
    </w:p>
    <w:p w:rsidR="00791802" w:rsidRDefault="002834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Postanowienia SWZ dotyczące Wykonawcy stosuje się odpowiednio do wykonawców wspólnie ubiegających się o udzielenie Zamówienia. </w:t>
      </w:r>
    </w:p>
    <w:p w:rsidR="00791802" w:rsidRDefault="002834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Jeżeli oferta wykonawców wspólnie ubiegających się</w:t>
      </w:r>
      <w:r>
        <w:rPr>
          <w:color w:val="000000"/>
        </w:rPr>
        <w:t xml:space="preserve"> o udzielenie Zamówienia zostanie wybrana jako najkorzystniejsza, Zamawiający wymaga złożenia </w:t>
      </w:r>
      <w:r>
        <w:t xml:space="preserve">przed zawarciem umowy o wykonanie Zamówienia </w:t>
      </w:r>
      <w:r>
        <w:rPr>
          <w:color w:val="000000"/>
        </w:rPr>
        <w:t>kopii umowy konsorcjum zawierającej: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t>określenie</w:t>
      </w:r>
      <w:r>
        <w:rPr>
          <w:color w:val="000000"/>
        </w:rPr>
        <w:t xml:space="preserve"> celu gospodarczego, 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oznaczenie czasu trwania konsorcjum, obejmującego okres realizacji przedmiotu Zamówienia, gwarancji i rękojmi, 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wykluczenie możliwości wypowiedzenia umowy konsorcjum przez któregokolwiek z jego członków do czasu wykonania Zamówienia oraz upływu okresu gwar</w:t>
      </w:r>
      <w:r>
        <w:rPr>
          <w:color w:val="000000"/>
        </w:rPr>
        <w:t xml:space="preserve">ancji i rękojmi, 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wyszczególnienie członków konsorcjum, 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określenie, że członkowie konsorcjum będą odpowiedzialni solidarnie za całość podjętych zobowiązań w ramach realizacji przedmiotu Zamówienia, </w:t>
      </w:r>
    </w:p>
    <w:p w:rsidR="00791802" w:rsidRDefault="0028340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określenie, w jakim zakresie poszczególni członkowie kon</w:t>
      </w:r>
      <w:r>
        <w:rPr>
          <w:color w:val="000000"/>
        </w:rPr>
        <w:t xml:space="preserve">sorcjum będą wykonywać prace związane z realizacją Zamówienia, przy czym określenie to musi odpowiadać sposobowi realizacji Zamówienia wynikającemu z zadeklarowanego w toku Postępowania sposobu spełnienia przez </w:t>
      </w:r>
      <w:r>
        <w:t>W</w:t>
      </w:r>
      <w:r>
        <w:rPr>
          <w:color w:val="000000"/>
        </w:rPr>
        <w:t>ykonawców wspólnie ubiegających się o udziel</w:t>
      </w:r>
      <w:r>
        <w:rPr>
          <w:color w:val="000000"/>
        </w:rPr>
        <w:t>enie Zamówienia warunków udziału w Postępowaniu.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4" w:name="_jooyc1pj0iav" w:colFirst="0" w:colLast="0"/>
      <w:bookmarkEnd w:id="54"/>
      <w:r>
        <w:rPr>
          <w:rFonts w:ascii="Arial" w:eastAsia="Arial" w:hAnsi="Arial" w:cs="Arial"/>
          <w:sz w:val="28"/>
          <w:szCs w:val="28"/>
        </w:rPr>
        <w:t>Ocena spełniania warunków w Postępowaniu i niepodlegania wykluczeniu</w:t>
      </w:r>
    </w:p>
    <w:p w:rsidR="00791802" w:rsidRDefault="0028340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</w:pPr>
      <w:r>
        <w:t>Ocena</w:t>
      </w:r>
      <w:r>
        <w:rPr>
          <w:color w:val="000000"/>
        </w:rPr>
        <w:t xml:space="preserve"> spełnienia warunków wymaganych od Wykonawców i niepodlegania wykluczeniu zostanie dokonana wg formuły 1/0 (spełnia/nie spełnia) na p</w:t>
      </w:r>
      <w:r>
        <w:rPr>
          <w:color w:val="000000"/>
        </w:rPr>
        <w:t>odstawie dokumentów i oświadczeń dołączonych do złożonej oferty zgodnie z Rozdziałem VIII Części I SWZ – Instrukcja dla Wykonawców (IDW).</w:t>
      </w:r>
    </w:p>
    <w:p w:rsidR="00791802" w:rsidRDefault="0028340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najpierw dokona oceny złożonych ofert pod kątem ewentualnego odrzucenia, a następnie zbada, czy Wykonawca,</w:t>
      </w:r>
      <w:r>
        <w:rPr>
          <w:color w:val="000000"/>
        </w:rPr>
        <w:t xml:space="preserve"> którego oferta została najwyżej oceniona, spełnia warunki udziału w Postępowaniu i nie podlega wykluczeniu</w:t>
      </w:r>
      <w:r>
        <w:t>.</w:t>
      </w:r>
    </w:p>
    <w:p w:rsidR="00791802" w:rsidRDefault="0028340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</w:pPr>
      <w:r>
        <w:t>Jeżeli</w:t>
      </w:r>
      <w:r>
        <w:rPr>
          <w:color w:val="000000"/>
        </w:rPr>
        <w:t xml:space="preserve"> pomimo ewentualnego wezwania do uzupełnienia dokumentów lub wyjaśnień (zgodnie z Rozdziałem VIII pkt 16 i 17 Części I SWZ – Instrukcja dla W</w:t>
      </w:r>
      <w:r>
        <w:rPr>
          <w:color w:val="000000"/>
        </w:rPr>
        <w:t xml:space="preserve">ykonawców (IDW)) Wykonawca nie wykaże braku podstaw do wykluczenia lub spełnienia warunków udziału w Postępowaniu, Zamawiający wykluczy go z </w:t>
      </w:r>
      <w:r>
        <w:rPr>
          <w:color w:val="000000"/>
        </w:rPr>
        <w:lastRenderedPageBreak/>
        <w:t xml:space="preserve">Postępowania oraz dokona oceny sytuacji podmiotowej kolejnego wykonawcy sklasyfikowanego w rankingu ofert. </w:t>
      </w:r>
    </w:p>
    <w:p w:rsidR="00791802" w:rsidRDefault="0028340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</w:pPr>
      <w:r>
        <w:t>Ocena</w:t>
      </w:r>
      <w:r>
        <w:rPr>
          <w:color w:val="000000"/>
        </w:rPr>
        <w:t xml:space="preserve"> s</w:t>
      </w:r>
      <w:r>
        <w:rPr>
          <w:color w:val="000000"/>
        </w:rPr>
        <w:t>pełniania warunków jest dokonywana wg stanu na dzień składania ofert, chyba że co innego wynika z treści danego warunku</w:t>
      </w:r>
      <w:r>
        <w:t xml:space="preserve">. </w:t>
      </w:r>
      <w:r>
        <w:rPr>
          <w:color w:val="000000"/>
        </w:rPr>
        <w:t>Wykonawca powinien spełniać warunki udziału w Postępowaniu przez cały czas jego trwania (nieprzerwanie).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55" w:name="_6tr2imwhj5kd" w:colFirst="0" w:colLast="0"/>
      <w:bookmarkEnd w:id="55"/>
      <w:r>
        <w:rPr>
          <w:rFonts w:ascii="Arial" w:eastAsia="Arial" w:hAnsi="Arial" w:cs="Arial"/>
          <w:sz w:val="28"/>
          <w:szCs w:val="28"/>
        </w:rPr>
        <w:t>Wybór najkorzystniejszej ofert</w:t>
      </w:r>
      <w:r>
        <w:rPr>
          <w:rFonts w:ascii="Arial" w:eastAsia="Arial" w:hAnsi="Arial" w:cs="Arial"/>
          <w:sz w:val="28"/>
          <w:szCs w:val="28"/>
        </w:rPr>
        <w:t>y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Ocenie</w:t>
      </w:r>
      <w:r>
        <w:rPr>
          <w:color w:val="000000"/>
        </w:rPr>
        <w:t xml:space="preserve"> będą podlegały tylko oferty zgodne z SWZ. Oferta niezgodna z SWZ będzie podlegała odrzuceniu, z </w:t>
      </w:r>
      <w:r>
        <w:t>zastrzeżeniem</w:t>
      </w:r>
      <w:r>
        <w:rPr>
          <w:color w:val="000000"/>
        </w:rPr>
        <w:t xml:space="preserve"> Rozdziału VIII pkt 18 Części I SWZ – Instrukcja dla Wykonawców (IDW)</w:t>
      </w:r>
      <w:r>
        <w:t>,</w:t>
      </w:r>
      <w:r>
        <w:rPr>
          <w:color w:val="000000"/>
        </w:rPr>
        <w:t xml:space="preserve"> tj. możliwości poprawienia oferty.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Poza przypadkami szczegółowo wskazanymi w innych fragmentach Części I SWZ – Instrukcja dla Wykonawców (IDW), oferta Wykonawcy będzie podlegała odrzuceniu także w przypadku, gdy będzie niezgodna z bezwzględnie obowiązującymi przepisami prawa lub gdy jej zło</w:t>
      </w:r>
      <w:r>
        <w:t>żenie będzie stanowiło czyn nieuczciwej konkurencji w rozumieniu przepisów o zwalczaniu nieuczciwej konkurencji.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Jeżeli zaoferowana cena lub koszt wydają się rażąco niskie w stosunku do przedmiotu zamówienia, tj. różnią się o więcej niż 30 % od średniej ar</w:t>
      </w:r>
      <w:r>
        <w:t>ytmetycznej cen wszystkich ważnych ofert niepodlegających odrzuceniu, lub budzą wątpliwości zamawiającego co do możliwości wykonania przedmiotu zamówienia zgodnie z wymaganiami określonymi w zapytaniu ofertowym lub wynikającymi z odrębnych przepisów, zamaw</w:t>
      </w:r>
      <w:r>
        <w:t>iający żąda od wykonawcy złożenia w wyznaczonym terminie wyjaśnień, w tym złożenia dowodów w zakresie wyliczenia ceny lub kosztu. Zamawiający ocenia te wyjaśnienia w konsultacji z wykonawcą i może odrzucić tę ofertę wyłącznie w przypadku, gdy złożone wyjaś</w:t>
      </w:r>
      <w:r>
        <w:t>nienia wraz z dowodami nie uzasadniają podanej ceny lub kosztu w tej ofercie.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W przypadku gdy dwie lub więcej ofert otrzyma identyczną łączną ilość punktów, Zamawiający wybierze ofertę, która uzyskała wyższą ilość punktów w kryterium Cena brutto.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</w:t>
      </w:r>
      <w:r>
        <w:rPr>
          <w:color w:val="000000"/>
        </w:rPr>
        <w:t>cy wybierze ofertę na podstawie następujących kryteriów oceny ofert</w:t>
      </w:r>
      <w:r>
        <w:t>:</w:t>
      </w:r>
    </w:p>
    <w:p w:rsidR="00791802" w:rsidRDefault="00283407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u w:val="single"/>
        </w:rPr>
        <w:t>Kryterium oceny Oferty</w:t>
      </w:r>
      <w:r>
        <w:rPr>
          <w:rFonts w:ascii="Calibri" w:eastAsia="Calibri" w:hAnsi="Calibri" w:cs="Calibri"/>
          <w:sz w:val="22"/>
          <w:szCs w:val="22"/>
        </w:rPr>
        <w:t>:</w:t>
      </w:r>
    </w:p>
    <w:tbl>
      <w:tblPr>
        <w:tblStyle w:val="a"/>
        <w:tblW w:w="8310" w:type="dxa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085"/>
        <w:gridCol w:w="2610"/>
      </w:tblGrid>
      <w:tr w:rsidR="00791802">
        <w:trPr>
          <w:tblHeader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802" w:rsidRDefault="00283407">
            <w:pPr>
              <w:spacing w:before="0" w:after="0" w:line="30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802" w:rsidRDefault="00283407">
            <w:pPr>
              <w:spacing w:before="0" w:after="0" w:line="300" w:lineRule="auto"/>
              <w:jc w:val="center"/>
              <w:rPr>
                <w:b/>
              </w:rPr>
            </w:pPr>
            <w:r>
              <w:rPr>
                <w:b/>
              </w:rPr>
              <w:t>Kryterium oceny Oferty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802" w:rsidRDefault="00283407">
            <w:pPr>
              <w:spacing w:before="0" w:after="0" w:line="300" w:lineRule="auto"/>
              <w:jc w:val="center"/>
              <w:rPr>
                <w:b/>
              </w:rPr>
            </w:pPr>
            <w:r>
              <w:rPr>
                <w:b/>
              </w:rPr>
              <w:t>Waga Kryterium</w:t>
            </w:r>
          </w:p>
        </w:tc>
      </w:tr>
      <w:tr w:rsidR="00791802">
        <w:trPr>
          <w:trHeight w:val="509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02" w:rsidRDefault="00283407">
            <w:pPr>
              <w:spacing w:before="0" w:after="0" w:line="300" w:lineRule="auto"/>
              <w:jc w:val="center"/>
            </w:pPr>
            <w:r>
              <w:t>1.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1802" w:rsidRDefault="00283407">
            <w:pPr>
              <w:spacing w:before="0" w:after="0" w:line="300" w:lineRule="auto"/>
            </w:pPr>
            <w:r>
              <w:t>K1 - Cena (C)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1802" w:rsidRDefault="00283407">
            <w:pPr>
              <w:spacing w:before="0" w:after="0" w:line="300" w:lineRule="auto"/>
              <w:jc w:val="center"/>
            </w:pPr>
            <w:r>
              <w:t>85%</w:t>
            </w:r>
          </w:p>
        </w:tc>
      </w:tr>
      <w:tr w:rsidR="00791802">
        <w:trPr>
          <w:trHeight w:val="554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02" w:rsidRDefault="00283407">
            <w:pPr>
              <w:spacing w:before="0" w:after="0" w:line="300" w:lineRule="auto"/>
              <w:jc w:val="center"/>
            </w:pPr>
            <w:r>
              <w:t>2.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1802" w:rsidRDefault="00283407">
            <w:pPr>
              <w:spacing w:before="0" w:after="0" w:line="300" w:lineRule="auto"/>
            </w:pPr>
            <w:r>
              <w:t>K2 - </w:t>
            </w:r>
            <w:r>
              <w:rPr>
                <w:sz w:val="22"/>
                <w:szCs w:val="22"/>
                <w:shd w:val="clear" w:color="auto" w:fill="FDFDFD"/>
              </w:rPr>
              <w:t>sprawność kotła (z ekonomizerem)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1802" w:rsidRDefault="00283407">
            <w:pPr>
              <w:spacing w:before="0" w:after="0" w:line="300" w:lineRule="auto"/>
              <w:jc w:val="center"/>
            </w:pPr>
            <w:r>
              <w:t>15%</w:t>
            </w:r>
          </w:p>
        </w:tc>
      </w:tr>
    </w:tbl>
    <w:p w:rsidR="00791802" w:rsidRDefault="00283407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Ocena ofert zostanie dokonana w następujący sposób:</w:t>
      </w:r>
    </w:p>
    <w:p w:rsidR="00791802" w:rsidRDefault="00283407">
      <w:pPr>
        <w:numPr>
          <w:ilvl w:val="0"/>
          <w:numId w:val="28"/>
        </w:numPr>
        <w:ind w:left="1133"/>
        <w:jc w:val="left"/>
      </w:pPr>
      <w:r>
        <w:t>Ocena ostateczna K zostanie wyznaczona przez pomnożenie punktów uzyskanych w ramach każdego z kryterium przez jego wagę (w):</w:t>
      </w:r>
    </w:p>
    <w:p w:rsidR="00791802" w:rsidRDefault="00283407">
      <w:pPr>
        <w:ind w:left="1440"/>
        <w:jc w:val="left"/>
        <w:rPr>
          <w:b/>
        </w:rPr>
      </w:pPr>
      <w:r>
        <w:rPr>
          <w:b/>
        </w:rPr>
        <w:lastRenderedPageBreak/>
        <w:t xml:space="preserve">K=K1*w1 + K2*w2 </w:t>
      </w:r>
    </w:p>
    <w:p w:rsidR="00791802" w:rsidRDefault="002834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1133"/>
        <w:jc w:val="left"/>
      </w:pPr>
      <w:r>
        <w:t>Maksymalna do uzyskania liczba punktów to 100.</w:t>
      </w:r>
    </w:p>
    <w:p w:rsidR="00791802" w:rsidRDefault="002834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1133"/>
        <w:jc w:val="left"/>
      </w:pPr>
      <w:r>
        <w:t xml:space="preserve">W przypadku </w:t>
      </w:r>
      <w:r>
        <w:rPr>
          <w:b/>
        </w:rPr>
        <w:t>Kryterium 1 (K1)</w:t>
      </w:r>
      <w:r>
        <w:t xml:space="preserve"> – Cena (brutto) o </w:t>
      </w:r>
      <w:r>
        <w:rPr>
          <w:b/>
        </w:rPr>
        <w:t>wadze (w1)</w:t>
      </w:r>
      <w:r>
        <w:t xml:space="preserve"> - 85% oferta otrzyma zaokrągloną do dwóch miejsc po przecinku liczbę punktów wynikającą z działania:</w:t>
      </w:r>
    </w:p>
    <w:p w:rsidR="00791802" w:rsidRDefault="00283407">
      <w:pPr>
        <w:spacing w:after="0" w:line="300" w:lineRule="auto"/>
        <w:ind w:left="-284"/>
        <w:jc w:val="center"/>
        <w:rPr>
          <w:b/>
        </w:rPr>
      </w:pPr>
      <w:proofErr w:type="spellStart"/>
      <w:r>
        <w:rPr>
          <w:b/>
        </w:rPr>
        <w:t>C</w:t>
      </w:r>
      <w:r>
        <w:rPr>
          <w:b/>
          <w:vertAlign w:val="subscript"/>
        </w:rPr>
        <w:t>min</w:t>
      </w:r>
      <w:proofErr w:type="spellEnd"/>
    </w:p>
    <w:p w:rsidR="00791802" w:rsidRDefault="00283407">
      <w:pPr>
        <w:spacing w:before="0" w:after="0" w:line="300" w:lineRule="auto"/>
        <w:jc w:val="center"/>
      </w:pPr>
      <w:r>
        <w:rPr>
          <w:b/>
        </w:rPr>
        <w:t>K1</w:t>
      </w:r>
      <w:r>
        <w:t xml:space="preserve"> = -------- x100 </w:t>
      </w:r>
    </w:p>
    <w:p w:rsidR="00791802" w:rsidRDefault="00283407">
      <w:pPr>
        <w:spacing w:before="0" w:after="0" w:line="300" w:lineRule="auto"/>
        <w:ind w:left="-284"/>
        <w:jc w:val="center"/>
        <w:rPr>
          <w:b/>
        </w:rPr>
      </w:pPr>
      <w:r>
        <w:rPr>
          <w:b/>
        </w:rPr>
        <w:t>C</w:t>
      </w:r>
      <w:r>
        <w:rPr>
          <w:b/>
          <w:vertAlign w:val="subscript"/>
        </w:rPr>
        <w:t>i</w:t>
      </w:r>
    </w:p>
    <w:p w:rsidR="00791802" w:rsidRDefault="00283407">
      <w:pPr>
        <w:widowControl w:val="0"/>
        <w:ind w:left="1133"/>
      </w:pPr>
      <w:r>
        <w:t>gdzie:</w:t>
      </w:r>
    </w:p>
    <w:p w:rsidR="00791802" w:rsidRDefault="00283407">
      <w:pPr>
        <w:widowControl w:val="0"/>
        <w:spacing w:before="0" w:after="0"/>
        <w:ind w:left="1133"/>
      </w:pPr>
      <w:r>
        <w:rPr>
          <w:b/>
        </w:rPr>
        <w:t>K1</w:t>
      </w:r>
      <w:r>
        <w:t xml:space="preserve"> – liczba punktów jakie otrzyma oferta „i” za kryterium „Cena”,</w:t>
      </w:r>
    </w:p>
    <w:p w:rsidR="00791802" w:rsidRDefault="00283407">
      <w:pPr>
        <w:widowControl w:val="0"/>
        <w:spacing w:before="0" w:after="0"/>
        <w:ind w:left="1133"/>
      </w:pPr>
      <w:proofErr w:type="spellStart"/>
      <w:r>
        <w:rPr>
          <w:b/>
        </w:rPr>
        <w:t>C</w:t>
      </w:r>
      <w:r>
        <w:rPr>
          <w:b/>
          <w:vertAlign w:val="subscript"/>
        </w:rPr>
        <w:t>min</w:t>
      </w:r>
      <w:proofErr w:type="spellEnd"/>
      <w:r>
        <w:t xml:space="preserve"> – najniższa cena spośród wszystkich ważnych i ni</w:t>
      </w:r>
      <w:r>
        <w:t>eodrzuconych ofert,</w:t>
      </w:r>
    </w:p>
    <w:p w:rsidR="00791802" w:rsidRDefault="0028340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ind w:left="1133"/>
      </w:pPr>
      <w:r>
        <w:rPr>
          <w:b/>
        </w:rPr>
        <w:t>C</w:t>
      </w:r>
      <w:r>
        <w:rPr>
          <w:b/>
          <w:vertAlign w:val="subscript"/>
        </w:rPr>
        <w:t>i</w:t>
      </w:r>
      <w:r>
        <w:t xml:space="preserve"> – cena oferty „i”.</w:t>
      </w:r>
    </w:p>
    <w:p w:rsidR="00791802" w:rsidRDefault="00283407">
      <w:pPr>
        <w:ind w:left="1133"/>
      </w:pPr>
      <w:r>
        <w:t xml:space="preserve">Przez cenę rozumie się całkowitą cenę brutto wskazaną w pkt 2 </w:t>
      </w:r>
      <w:proofErr w:type="spellStart"/>
      <w:r>
        <w:t>ppkt</w:t>
      </w:r>
      <w:proofErr w:type="spellEnd"/>
      <w:r>
        <w:t xml:space="preserve"> 3) Formularza oferty, którego wzór stanowi Załącznik nr 1 do Części I SWZ – Instrukcja dla Wykonawców (IDW).</w:t>
      </w:r>
    </w:p>
    <w:p w:rsidR="00791802" w:rsidRDefault="002834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1133"/>
        <w:jc w:val="left"/>
      </w:pPr>
      <w:r>
        <w:t xml:space="preserve">W przypadku Kryterium 2 (K2) – sprawność kotła (z ekonomizerem) przy odbiorze instalacji o </w:t>
      </w:r>
      <w:r>
        <w:rPr>
          <w:b/>
        </w:rPr>
        <w:t>wadze (w2)</w:t>
      </w:r>
      <w:r>
        <w:t xml:space="preserve"> – 15 % oferta otrzyma zaokrągloną do dwóch miejsc po przecinku liczbę punktów wynikającą z działania:</w:t>
      </w:r>
    </w:p>
    <w:p w:rsidR="00791802" w:rsidRDefault="00283407">
      <w:pPr>
        <w:spacing w:before="0" w:after="0"/>
        <w:ind w:left="1700"/>
        <w:jc w:val="left"/>
        <w:rPr>
          <w:shd w:val="clear" w:color="auto" w:fill="FDFDFD"/>
        </w:rPr>
      </w:pPr>
      <w:r>
        <w:rPr>
          <w:shd w:val="clear" w:color="auto" w:fill="FDFDFD"/>
        </w:rPr>
        <w:t>1.nominalna sprawność = 85,0% - 0 pkt</w:t>
      </w:r>
    </w:p>
    <w:p w:rsidR="00791802" w:rsidRDefault="00283407">
      <w:pPr>
        <w:spacing w:before="0" w:after="0"/>
        <w:ind w:left="1700"/>
        <w:jc w:val="left"/>
        <w:rPr>
          <w:shd w:val="clear" w:color="auto" w:fill="FDFDFD"/>
        </w:rPr>
      </w:pPr>
      <w:r>
        <w:rPr>
          <w:shd w:val="clear" w:color="auto" w:fill="FDFDFD"/>
        </w:rPr>
        <w:t>2.nominalna sp</w:t>
      </w:r>
      <w:r>
        <w:rPr>
          <w:shd w:val="clear" w:color="auto" w:fill="FDFDFD"/>
        </w:rPr>
        <w:t>rawność &gt; 85,0% - 25 pkt</w:t>
      </w:r>
    </w:p>
    <w:p w:rsidR="00791802" w:rsidRDefault="00283407">
      <w:pPr>
        <w:spacing w:before="0" w:after="0"/>
        <w:ind w:left="1700"/>
        <w:jc w:val="left"/>
        <w:rPr>
          <w:shd w:val="clear" w:color="auto" w:fill="FDFDFD"/>
        </w:rPr>
      </w:pPr>
      <w:r>
        <w:rPr>
          <w:shd w:val="clear" w:color="auto" w:fill="FDFDFD"/>
        </w:rPr>
        <w:t>3.nominalna sprawność &gt;= 87,0% - 50 pkt</w:t>
      </w:r>
    </w:p>
    <w:p w:rsidR="00791802" w:rsidRDefault="00283407">
      <w:pPr>
        <w:spacing w:before="0" w:after="0"/>
        <w:ind w:left="1700"/>
        <w:jc w:val="left"/>
        <w:rPr>
          <w:shd w:val="clear" w:color="auto" w:fill="FDFDFD"/>
        </w:rPr>
      </w:pPr>
      <w:r>
        <w:rPr>
          <w:shd w:val="clear" w:color="auto" w:fill="FDFDFD"/>
        </w:rPr>
        <w:t>4. nominalna sprawność &gt;= 89,0% - 75 pkt</w:t>
      </w:r>
    </w:p>
    <w:p w:rsidR="00791802" w:rsidRDefault="00283407">
      <w:pPr>
        <w:spacing w:before="0" w:after="0"/>
        <w:ind w:left="1700"/>
        <w:jc w:val="left"/>
        <w:rPr>
          <w:shd w:val="clear" w:color="auto" w:fill="FDFDFD"/>
        </w:rPr>
      </w:pPr>
      <w:r>
        <w:rPr>
          <w:shd w:val="clear" w:color="auto" w:fill="FDFDFD"/>
        </w:rPr>
        <w:t>5. nominalna sprawność &gt;= 91,0% - 100 pkt</w:t>
      </w:r>
    </w:p>
    <w:p w:rsidR="00791802" w:rsidRDefault="00283407">
      <w:pPr>
        <w:ind w:left="1133"/>
        <w:rPr>
          <w:b/>
        </w:rPr>
      </w:pPr>
      <w:r>
        <w:rPr>
          <w:b/>
        </w:rPr>
        <w:t>Uwaga:</w:t>
      </w:r>
    </w:p>
    <w:p w:rsidR="00791802" w:rsidRDefault="00283407">
      <w:pPr>
        <w:ind w:left="1133"/>
        <w:rPr>
          <w:b/>
        </w:rPr>
      </w:pPr>
      <w:r>
        <w:rPr>
          <w:b/>
        </w:rPr>
        <w:t>Oferta w której Wykonawca zadeklaruje sprawność poniżej 85% zostanie odrzucona.</w:t>
      </w:r>
    </w:p>
    <w:p w:rsidR="00791802" w:rsidRDefault="00791802">
      <w:pPr>
        <w:widowControl w:val="0"/>
        <w:spacing w:before="0" w:after="0"/>
        <w:ind w:left="1440"/>
        <w:rPr>
          <w:rFonts w:ascii="Calibri" w:eastAsia="Calibri" w:hAnsi="Calibri" w:cs="Calibri"/>
          <w:sz w:val="10"/>
          <w:szCs w:val="10"/>
        </w:rPr>
      </w:pP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Ocena w ramach </w:t>
      </w:r>
      <w:r>
        <w:t>powyż</w:t>
      </w:r>
      <w:r>
        <w:t>szych</w:t>
      </w:r>
      <w:r>
        <w:rPr>
          <w:color w:val="000000"/>
        </w:rPr>
        <w:t xml:space="preserve"> kryteri</w:t>
      </w:r>
      <w:r>
        <w:t>ów</w:t>
      </w:r>
      <w:r>
        <w:rPr>
          <w:color w:val="000000"/>
        </w:rPr>
        <w:t xml:space="preserve"> zostanie dokonana na podstawie informacji zawartych w Ofercie.</w:t>
      </w:r>
      <w:r>
        <w:rPr>
          <w:b/>
          <w:color w:val="000000"/>
        </w:rPr>
        <w:t xml:space="preserve"> 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 ofertę najkorzystniejszą będzie uznana oferta, która przy uwzględnieniu powyższych kryteriów i ich wag otrzyma najwyższą punktację. Jeżeli nie będzie można dokonać wyboru of</w:t>
      </w:r>
      <w:r>
        <w:rPr>
          <w:color w:val="000000"/>
        </w:rPr>
        <w:t xml:space="preserve">erty najkorzystniejszej ze względu na to, </w:t>
      </w:r>
      <w:r>
        <w:t>że</w:t>
      </w:r>
      <w:r>
        <w:rPr>
          <w:color w:val="000000"/>
        </w:rPr>
        <w:t xml:space="preserve"> dwie lub więcej ofert otrzyma taką samą punktację, Zamawiający spośród tych ofert wybierze ofertę z najniższą ceną.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 niezwłocznie zawiadomi Wykonawców, którzy złożyli oferty, o wyniku Postępowania.</w:t>
      </w:r>
    </w:p>
    <w:p w:rsidR="00791802" w:rsidRDefault="0028340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Za</w:t>
      </w:r>
      <w:r>
        <w:t xml:space="preserve">mawiający, przed zawiadomieniem Wykonawców o wyniku Postępowania, może zwrócić się do Wykonawcy, który złożył najkorzystniejszą ofertę, z wnioskiem o obniżenie wysokości zaoferowanej ceny do wysokości środków, które Zamawiający </w:t>
      </w:r>
      <w:r>
        <w:lastRenderedPageBreak/>
        <w:t>może przeznaczyć na sfinanso</w:t>
      </w:r>
      <w:r>
        <w:t>wanie Zamówienia. Zamawiający zastrzega, że zgoda Wykonawcy na obniżenie wysokości zaoferowanej ceny nie będzie efektem jakichkolwiek negocjacji lub modyfikacji innych warunków Zamówienia - nie będzie miała wpływu na jakiekolwiek inne parametry Zamówienia,</w:t>
      </w:r>
      <w:r>
        <w:t xml:space="preserve"> w szczególności nie doprowadzi do jakiekolwiek zmiany wymagań Zamawiającego. Brak obniżenia przez Wykonawcę wysokości zaoferowanej ceny może skutkować unieważnieniem Postępowania na podstawie postanowień rozdziału XVIII pkt 1.3.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56" w:name="_4ad57cej8c8j" w:colFirst="0" w:colLast="0"/>
      <w:bookmarkEnd w:id="56"/>
      <w:r>
        <w:rPr>
          <w:rFonts w:ascii="Arial" w:eastAsia="Arial" w:hAnsi="Arial" w:cs="Arial"/>
          <w:sz w:val="28"/>
          <w:szCs w:val="28"/>
        </w:rPr>
        <w:t>Opis sposobu obliczenia ceny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t>Cena</w:t>
      </w:r>
      <w:r>
        <w:rPr>
          <w:color w:val="000000"/>
        </w:rPr>
        <w:t xml:space="preserve"> oferty musi być podana w polskich złotych cyfrowo i słownie.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Cena może być tylko jedna w ramach oferty.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Zamawiający wymaga, aby oferta zawierała: </w:t>
      </w:r>
    </w:p>
    <w:p w:rsidR="00791802" w:rsidRDefault="0028340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określenie ceny netto w PLN,</w:t>
      </w:r>
    </w:p>
    <w:p w:rsidR="00791802" w:rsidRDefault="0028340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określenie stawki i kwoty podatku VAT (wg obow</w:t>
      </w:r>
      <w:r>
        <w:rPr>
          <w:color w:val="000000"/>
        </w:rPr>
        <w:t>iązujących przepisów),</w:t>
      </w:r>
    </w:p>
    <w:p w:rsidR="00791802" w:rsidRDefault="0028340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określenie ceny brutto w PLN.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FF0000"/>
        </w:rPr>
      </w:pPr>
      <w:r>
        <w:rPr>
          <w:color w:val="FF0000"/>
        </w:rPr>
        <w:t>UWAGA: W BK2021 podaje się jedynie cenę BRUTTO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Na etapie przygotowania ofert Wykonawcy są zobowiązani przeanalizować wszystkie elementy SWZ i w razie wątpliwości zgłosić pisemnie w przewidzianym trybie wszelkie zastrzeżenia, uwagi i zauważone nieścisłości.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Cena podana w ofercie jest ceną ryczałtową, obejmuje wszystkie koszty związane z terminowym i prawidłowym wykonaniem przedmiotu Zamówienia, obliczone w oparciu o informacje zawarte w szczegółowym opisie przedmiotu Zamówienia  w Części II SWZ – Opis Przedmi</w:t>
      </w:r>
      <w:r>
        <w:rPr>
          <w:color w:val="000000"/>
        </w:rPr>
        <w:t>otu Zamówienia, jak również z uwzględnieniem zapisów wzoru umowy stanowiąc</w:t>
      </w:r>
      <w:r>
        <w:t xml:space="preserve">ego </w:t>
      </w:r>
      <w:r>
        <w:rPr>
          <w:color w:val="000000"/>
        </w:rPr>
        <w:t xml:space="preserve"> Część III SWZ - Wzór Umowy. 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Sposób zapłaty i rozliczenia za realizację Zamówienia określony zostały w Części III SWZ - Wzór Umowy. </w:t>
      </w:r>
    </w:p>
    <w:p w:rsidR="00791802" w:rsidRDefault="002834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Jeżeli złożono ofertę, której wybór prowadzi</w:t>
      </w:r>
      <w:r>
        <w:rPr>
          <w:color w:val="000000"/>
        </w:rPr>
        <w:t>łby do powstania obowiązku podatkowego Zamawiającego zgodnie z przepisami o podatku od towarów i usług w zakresie dotyczącym wewnątrzwspólnotowego nabycia towarów lub usług, Zamawiający w celu oceny takiej oferty dolicza do przedstawionej w niej ceny podat</w:t>
      </w:r>
      <w:r>
        <w:rPr>
          <w:color w:val="000000"/>
        </w:rPr>
        <w:t>ek od towarów i usług, który miałby obowiązek wpłacić zgodnie z obowiązującymi przepisami.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7" w:name="_zw4feb7h2gs" w:colFirst="0" w:colLast="0"/>
      <w:bookmarkEnd w:id="57"/>
      <w:r>
        <w:rPr>
          <w:rFonts w:ascii="Arial" w:eastAsia="Arial" w:hAnsi="Arial" w:cs="Arial"/>
          <w:sz w:val="28"/>
          <w:szCs w:val="28"/>
        </w:rPr>
        <w:t xml:space="preserve">Wymagania dotyczące wadium 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Oferta musi być zabezpieczona wadium w wysokości:</w:t>
      </w:r>
      <w:r>
        <w:rPr>
          <w:b/>
        </w:rPr>
        <w:t xml:space="preserve"> 50 000,00 zł</w:t>
      </w:r>
      <w:r>
        <w:t xml:space="preserve"> (</w:t>
      </w:r>
      <w:r>
        <w:t xml:space="preserve">pięćdziesiąt </w:t>
      </w:r>
      <w:r>
        <w:t>tysięcy złotych)</w:t>
      </w:r>
      <w:r>
        <w:rPr>
          <w:color w:val="000000"/>
        </w:rPr>
        <w:t>,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Wadium musi być wniesione przed upływem terminu składania ofert i obejmować okres związania ofertą. Za termin wniesienia wadium w pieniądzu uważa się datę uznania środków na koncie Zamawiającego.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Wadium może być wnoszone w jednej lub kilku następujących fo</w:t>
      </w:r>
      <w:r>
        <w:rPr>
          <w:color w:val="000000"/>
        </w:rPr>
        <w:t>rmach: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 pieniądzu - przelewem na rachunek Zamawiającego: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</w:pPr>
      <w:r>
        <w:rPr>
          <w:color w:val="000000"/>
        </w:rPr>
        <w:t>nr konta PL19 1940 1210 0103 1432 0010 0000</w:t>
      </w:r>
      <w:r>
        <w:t xml:space="preserve"> w CREDIT AGRICOLE BANK POLSKA S.A.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</w:rPr>
      </w:pPr>
      <w:r>
        <w:rPr>
          <w:color w:val="000000"/>
        </w:rPr>
        <w:t xml:space="preserve">z dopiskiem: „wadium – postępowanie nr </w:t>
      </w:r>
      <w:r>
        <w:t>2025/0069/P/P Zadanie: “</w:t>
      </w:r>
      <w:r>
        <w:rPr>
          <w:b/>
        </w:rPr>
        <w:t xml:space="preserve">Budowa kotła </w:t>
      </w:r>
      <w:proofErr w:type="spellStart"/>
      <w:r>
        <w:rPr>
          <w:b/>
        </w:rPr>
        <w:t>biomasowego</w:t>
      </w:r>
      <w:proofErr w:type="spellEnd"/>
      <w:r>
        <w:rPr>
          <w:b/>
        </w:rPr>
        <w:t xml:space="preserve"> w ramach ciepłowni w Świeciu</w:t>
      </w:r>
      <w:r>
        <w:t>”</w:t>
      </w:r>
      <w:r>
        <w:rPr>
          <w:color w:val="000000"/>
        </w:rPr>
        <w:t>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poręczeniach</w:t>
      </w:r>
      <w:r>
        <w:rPr>
          <w:color w:val="000000"/>
        </w:rPr>
        <w:t xml:space="preserve"> bankowych,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gwarancjach bankowych,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gwarancjach ubezpieczeniowych,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poręczeniach udzielanych przez podmioty, o których mowa w art. 6b ust. 5 pkt 2 ustawy z dnia 9 listopada 2000 r. o utworzeniu Polskiej Agencji Rozwoju Przedsiębiorczości (tekst</w:t>
      </w:r>
      <w:r>
        <w:rPr>
          <w:color w:val="000000"/>
        </w:rPr>
        <w:t xml:space="preserve"> jednolity: Dz. U. z 2023 r., poz. 463, ze zm.).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Wadium</w:t>
      </w:r>
      <w:r>
        <w:rPr>
          <w:color w:val="000000"/>
        </w:rPr>
        <w:t xml:space="preserve"> wniesione w formach niepieniężnych wymienionych w pkt 3.2., 3.3., 3.4., 3.5. powyżej musi zawierać: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i siedzibę banku/ubezpieczyciela/podmiotu udzielającego gwarancji/poręczenia;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</w:t>
      </w:r>
      <w:r>
        <w:rPr>
          <w:color w:val="000000"/>
        </w:rPr>
        <w:t>ę i siedzibę Wykonawcy, dla którego udziela się gwarancji/poręczenia, numer wpisu do KRS, NIP, (w przypadku wykonawców wspólnie ubiegających się o udzielenie Zamówienia, wymaga się, aby poręczenie/gwarancja bankowa/ubezpieczeniowa obejmowała swą treścią ws</w:t>
      </w:r>
      <w:r>
        <w:rPr>
          <w:color w:val="000000"/>
        </w:rPr>
        <w:t>zystkich wykonawców wspólnie ubiegających się o udzielenie Zamówienia);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i siedzibę Zamawiającego;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cel wystawienia gwarancji/poręczenia;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Zamówienia;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kwotę, którą obejmuje poręczenie/gwarancja bankowa/ubezpieczeniowa, równą kwocie wadium;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termin ważności poręczenia/gwarancji bankowej/ubezpieczeniowej;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stwierdzenie, że zobowiązanie banku/ubezpieczyciela/podmiotu udzielającego gwarancji/poręczenia jest ni</w:t>
      </w:r>
      <w:r>
        <w:rPr>
          <w:color w:val="000000"/>
        </w:rPr>
        <w:t>eodwołalne, bezwarunkowe i płatne na pierwsze żądanie Zamawiającego w przypadku, gdy Wykonawca, którego oferta została uznana za najkorzystniejszą w Postępowaniu:</w:t>
      </w:r>
    </w:p>
    <w:p w:rsidR="00791802" w:rsidRDefault="00283407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uchyla się od zawarcia umowy na warunkach określonych w ofercie;</w:t>
      </w:r>
    </w:p>
    <w:p w:rsidR="00791802" w:rsidRDefault="00283407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nie wniósł w wymaganym termi</w:t>
      </w:r>
      <w:r>
        <w:rPr>
          <w:color w:val="000000"/>
        </w:rPr>
        <w:t>nie zabezpieczenia należytego wykonania umowy;</w:t>
      </w:r>
    </w:p>
    <w:p w:rsidR="00791802" w:rsidRDefault="00283407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zawarcie umowy stało się niemożliwe z przyczyn leżących po stronie Wykonawcy;</w:t>
      </w:r>
    </w:p>
    <w:p w:rsidR="00791802" w:rsidRDefault="00283407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d</w:t>
      </w:r>
      <w:r>
        <w:rPr>
          <w:color w:val="000000"/>
        </w:rPr>
        <w:t>atę wystawienia poręczenia/gwarancji bankowej/ubezpieczeniowej;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podpisy osób upoważnionych do wystawienia poręczenia/gwarancji ban</w:t>
      </w:r>
      <w:r>
        <w:rPr>
          <w:color w:val="000000"/>
        </w:rPr>
        <w:t>kowej/ ubezpieczeniowej.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dołącza do oferty dowód wniesienia wadium: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potwierdzenie dokonanego przelewu – w przypadku wniesienia wadium w pieniądzu; 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oryginał odpowiedniego dokumentu – w przypadku wniesienia wadium w innej dopuszczonej formie niepieniężnej wymienionej w pkt 3.2., 3.3., 3.4., 3.5. powyżej.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Dowód</w:t>
      </w:r>
      <w:r>
        <w:rPr>
          <w:color w:val="000000"/>
        </w:rPr>
        <w:t xml:space="preserve"> wniesienia wadium powinien zostać załączony do oferty poprzez wybranie polecenia „Dodaj dokument” w zakładce „Oferta” zgodnie z Rozdziałem VIII pkt 6.2. Części I SWZ – Instrukcja dla Wykonawców (IDW). W przypadku wniesienia wadium w formie niepieniężnej W</w:t>
      </w:r>
      <w:r>
        <w:rPr>
          <w:color w:val="000000"/>
        </w:rPr>
        <w:t>ykonawca może złożyć dokument wadium wystawiony w formie elektronicznej (opatrzony kwalifikowanymi podpisami elektronicznymi osób umocowanych do wystawienia dokumentu – np. upoważnionego pracownika banku lub ubezpieczyciela) lub w formie skanu dokumentu ma</w:t>
      </w:r>
      <w:r>
        <w:rPr>
          <w:color w:val="000000"/>
        </w:rPr>
        <w:t>jącego w oryginale postać pisemną przy uprzednim przedłożeniu Zamawiającemu, przed upływem terminu składania ofert, oryginału tego dokumentu w zamkniętej kopercie (z oznaczeniem numeru Postępowania oraz imieniem i nazwiskiem osoby wskazanej w Rozdziale I p</w:t>
      </w:r>
      <w:r>
        <w:rPr>
          <w:color w:val="000000"/>
        </w:rPr>
        <w:t xml:space="preserve">kt. 4. Części I SWZ – Instrukcja dla Wykonawców (IDW) poprzez jego doręczenie na adres: </w:t>
      </w:r>
      <w:proofErr w:type="spellStart"/>
      <w:r>
        <w:rPr>
          <w:color w:val="000000"/>
        </w:rPr>
        <w:t>Veolia</w:t>
      </w:r>
      <w:proofErr w:type="spellEnd"/>
      <w:r>
        <w:rPr>
          <w:color w:val="000000"/>
        </w:rPr>
        <w:t xml:space="preserve"> </w:t>
      </w:r>
      <w:r>
        <w:t>Energia Polska S.A. biuro w Łodzi</w:t>
      </w:r>
      <w:r>
        <w:rPr>
          <w:color w:val="000000"/>
        </w:rPr>
        <w:t xml:space="preserve">.; </w:t>
      </w:r>
      <w:r>
        <w:t xml:space="preserve">92-550 Łódź </w:t>
      </w:r>
      <w:r>
        <w:rPr>
          <w:color w:val="000000"/>
        </w:rPr>
        <w:t>, ul. J. Andrzejewskiej 5 (nie dopuszcza się składania dokumentów w postaci pisemnej w innym miejscu).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Oferta</w:t>
      </w:r>
      <w:r>
        <w:rPr>
          <w:color w:val="000000"/>
        </w:rPr>
        <w:t xml:space="preserve"> Wyk</w:t>
      </w:r>
      <w:r>
        <w:rPr>
          <w:color w:val="000000"/>
        </w:rPr>
        <w:t xml:space="preserve">onawcy, który nie zabezpieczy oferty jedną z form wadium wskazanych w pkt 3. powyżej, zostanie przez Zamawiającego odrzucona. Wadium nie podlega uzupełnieniu. 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niezałączenia dokumentu, o którym mowa w pkt 5.1. powyżej, Zamawiający samodzielnie </w:t>
      </w:r>
      <w:r>
        <w:rPr>
          <w:color w:val="000000"/>
        </w:rPr>
        <w:t>zweryfikuje prawidłowość wniesienia przez Wykonawcę wadium w formie pieniężnej i uzna ofertę Wykonawcy za zabezpieczoną wadium, jeżeli prawidłowość tę potwierdzi. W przypadku niezałączenia dokumentu, o którym mowa w pkt 5.2. powyżej, Zamawiający uzna ofert</w:t>
      </w:r>
      <w:r>
        <w:rPr>
          <w:color w:val="000000"/>
        </w:rPr>
        <w:t>ę Wykonawcy za niezabezpieczoną wadium i ją odrzuci bez możliwości uzupełnienia tego dokumentu.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zwraca niezwłocznie wadium, jeżeli: 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Wykonawca wycofa ofertę przed upływem terminem składania ofert,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upłynął termin związania ofertą,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zawarto umowę </w:t>
      </w:r>
      <w:r>
        <w:rPr>
          <w:color w:val="000000"/>
        </w:rPr>
        <w:t>w sprawie Zamówienia,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 unieważni Postępowanie bez dokonania wyboru którejkolwiek oferty.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zwraca wadium wniesione w pieniądzu </w:t>
      </w:r>
      <w:r>
        <w:t>bez odsetek</w:t>
      </w:r>
      <w:r>
        <w:rPr>
          <w:color w:val="000000"/>
        </w:rPr>
        <w:t xml:space="preserve">, pomniejszone o koszty prowadzenia rachunku bankowego oraz prowizji bankowej za przelew </w:t>
      </w:r>
      <w:r>
        <w:rPr>
          <w:color w:val="000000"/>
        </w:rPr>
        <w:lastRenderedPageBreak/>
        <w:t>pieniędz</w:t>
      </w:r>
      <w:r>
        <w:rPr>
          <w:color w:val="000000"/>
        </w:rPr>
        <w:t>y na rachunek bankowy wskazany przez Wykonawcę w Formularzu oferty, którego wzór stanowi Załącznik nr 1 do Części I SWZ – Instrukcja dla Wykonawców (IDW).</w:t>
      </w:r>
    </w:p>
    <w:p w:rsidR="00791802" w:rsidRDefault="002834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zatrzymuje wadium wraz z odsetkami, jeżeli Wykonawca, którego oferta została uznana za na</w:t>
      </w:r>
      <w:r>
        <w:rPr>
          <w:color w:val="000000"/>
        </w:rPr>
        <w:t>jkorzystniejszą w Postępowaniu: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uchyla się od zawarcia umowy na warunkach określonych w ofercie,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nie wnosi w wymaganym terminie zabezpieczenia należytego wykonania umowy,</w:t>
      </w:r>
    </w:p>
    <w:p w:rsidR="00791802" w:rsidRDefault="00283407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zawarcie umowy stało się niemożliwe z przyczyn leżących po stronie Wykonawcy. 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58" w:name="_swxwhqee8q0" w:colFirst="0" w:colLast="0"/>
      <w:bookmarkEnd w:id="58"/>
      <w:r>
        <w:rPr>
          <w:rFonts w:ascii="Arial" w:eastAsia="Arial" w:hAnsi="Arial" w:cs="Arial"/>
          <w:sz w:val="28"/>
          <w:szCs w:val="28"/>
        </w:rPr>
        <w:t>Wymagania dotyczące zabezpieczenia należytego wykonania umowy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 żąda od Wykonawcy wybranego w wyniku Postępowania, z którym zawiera umowę, zabezpieczenia należytego wykonania umowy na pokrycie roszczeń z tytułu niewykonania lub nienależytego wyko</w:t>
      </w:r>
      <w:r>
        <w:rPr>
          <w:color w:val="000000"/>
        </w:rPr>
        <w:t>nania umowy</w:t>
      </w:r>
      <w:r>
        <w:t>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Wykonawca</w:t>
      </w:r>
      <w:r>
        <w:rPr>
          <w:color w:val="000000"/>
        </w:rPr>
        <w:t xml:space="preserve"> jest zobowiązany wnieść zabezpieczenie należytego wykonania umowy </w:t>
      </w:r>
      <w:r>
        <w:rPr>
          <w:color w:val="000000"/>
          <w:highlight w:val="white"/>
        </w:rPr>
        <w:t xml:space="preserve">najpóźniej w dniu podpisania umowy. </w:t>
      </w:r>
      <w:r>
        <w:rPr>
          <w:color w:val="000000"/>
        </w:rPr>
        <w:t>Jeżeli zabezpieczenie wniesiono w pieniądzu, za datę wniesienia zabezpieczenia przyjmuje się datę uznania rachunku bankowego Zamawi</w:t>
      </w:r>
      <w:r>
        <w:rPr>
          <w:color w:val="000000"/>
        </w:rPr>
        <w:t>ającego.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Wysokość zabezpieczenia ustala się w stosunku procentowym do ceny całkowitej (brutto) podanej w ofercie. 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Zabezpieczenie ustala się w wysokości 10% Wynagrodzenia bru</w:t>
      </w:r>
      <w:r>
        <w:t>tto, przy czym w Okresie Gwarancyjnym i Okresie rękojmi za Wady wysokość Zabezpiec</w:t>
      </w:r>
      <w:r>
        <w:t xml:space="preserve">zenia ulega zmniejszeniu do wysokości 3% Wynagrodzenia    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Zabezpieczenie może być wnoszone według wyboru Wykonawcy w jednej lub w kilku następujących formach: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 pieniądzu - przelewem na rachunek Zamawiającego: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</w:rPr>
      </w:pPr>
      <w:r>
        <w:rPr>
          <w:color w:val="000000"/>
        </w:rPr>
        <w:t xml:space="preserve">nr konta PL19 1940 1210 0103 1432 0010 0000 </w:t>
      </w:r>
      <w:r>
        <w:t xml:space="preserve">w CREDIT AGRICOLE BANK POLSKA S.A. </w:t>
      </w:r>
      <w:r>
        <w:rPr>
          <w:color w:val="000000"/>
        </w:rPr>
        <w:t xml:space="preserve">z dopiskiem: „zabezpieczenie należytego wykonania umowy – postępowanie nr </w:t>
      </w:r>
      <w:r>
        <w:t>2025/0069/P/P</w:t>
      </w:r>
      <w:r>
        <w:rPr>
          <w:color w:val="000000"/>
        </w:rPr>
        <w:t xml:space="preserve">, Zadanie: </w:t>
      </w:r>
      <w:r>
        <w:t>“</w:t>
      </w:r>
      <w:r>
        <w:rPr>
          <w:b/>
        </w:rPr>
        <w:t xml:space="preserve">Budowa kotła </w:t>
      </w:r>
      <w:proofErr w:type="spellStart"/>
      <w:r>
        <w:rPr>
          <w:b/>
        </w:rPr>
        <w:t>biomasowego</w:t>
      </w:r>
      <w:proofErr w:type="spellEnd"/>
      <w:r>
        <w:rPr>
          <w:b/>
        </w:rPr>
        <w:t xml:space="preserve"> w ramach ciepłowni w Świeciu</w:t>
      </w:r>
      <w:r>
        <w:rPr>
          <w:color w:val="000000"/>
        </w:rPr>
        <w:t>”,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poręczeniach</w:t>
      </w:r>
      <w:r>
        <w:rPr>
          <w:color w:val="000000"/>
        </w:rPr>
        <w:t xml:space="preserve"> bankowych,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gwarancjach bankowych,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gwarancjach ubezpie</w:t>
      </w:r>
      <w:r>
        <w:rPr>
          <w:color w:val="000000"/>
        </w:rPr>
        <w:t>czeniowych,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poręczeniach udzielanych przez podmioty, o których mowa w art. 6b ust. 5 pkt 2 ustawy z dnia 9 listopada 2000 r. o utworzeniu Polskiej Agencji Rozwoju Przedsiębiorczości (tekst jednolity: Dz. U. z 2023 r., poz. 463, ze zm.).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>Zabezpieczenie</w:t>
      </w:r>
      <w:r>
        <w:rPr>
          <w:color w:val="000000"/>
        </w:rPr>
        <w:t xml:space="preserve"> wniesione w formach niepieniężnych wymienionych w pkt 4.2., 4.3., 4.4., 4.5. powyżej musi zawierać: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i siedzibę banku/ubezpieczyciela/podmiotu udzielającego gwarancji/poręczenia,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i siedzibę Wykonawcy, dla którego udziela się gwaranc</w:t>
      </w:r>
      <w:r>
        <w:rPr>
          <w:color w:val="000000"/>
        </w:rPr>
        <w:t>ji/poręczenia, numer wpisu do KRS, NIP, (w przypadku wykonawców wspólnie ubiegających się o udzielenie Zamówienia, wymaga się, aby poręczenie/gwarancja bankowa/ubezpieczeniowa obejmowała swą treścią wszystkich wykonawców wspólnie ubiegających się o udziele</w:t>
      </w:r>
      <w:r>
        <w:rPr>
          <w:color w:val="000000"/>
        </w:rPr>
        <w:t>nie Zamówienia),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i siedzibę Zamawiającego,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cel wystawienia gwarancji/poręczenia,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pełną nazwę Zamówienia,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kwotę, którą obejmuje poręczenie/gwarancja bankowa/ubezpieczeniowa, równą kwocie zabezpieczenia,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termin ważności poręczenia/gwarancji bankowej/ubezpieczeniowej,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stwierdzenie, że zobowiązanie banku/ubezpieczyciela/podmiotu udzielającego gwarancji/poręczenia jest nieodwołalne, bezwarunkowe i płatne na pierwsze żądanie Zamawiającego w przypadku, gdy Wyko</w:t>
      </w:r>
      <w:r>
        <w:rPr>
          <w:color w:val="000000"/>
        </w:rPr>
        <w:t>nawca nie wykonał lub nienależycie wykonał umowę,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datę wystawienia poręczenia/gwarancji bankowej/ubezpieczeniowej,</w:t>
      </w:r>
    </w:p>
    <w:p w:rsidR="00791802" w:rsidRDefault="0028340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podpisy osób upoważnionych do wystawienia poręczenia/gwarancji bankowej/ ubezpieczeniowej.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Zabezpieczenie</w:t>
      </w:r>
      <w:r>
        <w:rPr>
          <w:color w:val="000000"/>
        </w:rPr>
        <w:t xml:space="preserve"> wniesione w formach niepieniężnych </w:t>
      </w:r>
      <w:r>
        <w:rPr>
          <w:color w:val="000000"/>
        </w:rPr>
        <w:t>wymienionych w pkt 4.3 i 4.4 powyżej powinno być zgodne ze wzorami gwarancji stanowiącymi Załączniki do wzoru umowy określonego w Części III SWZ - Wzór Umowy. W przypadku wniesienia wadium w pieniądzu Wykonawca może wyrazić zgodę na zaliczenie kwoty wadium</w:t>
      </w:r>
      <w:r>
        <w:rPr>
          <w:color w:val="000000"/>
        </w:rPr>
        <w:t xml:space="preserve"> na poczet zabezpieczenia.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nie wyraża zgody, aby zabezpieczenie było tworzone poprzez potrącenie z należności za częściowo wykonany przedmiot Zamówienia.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trakcie realizacji umowy Wykonawca może dokonać zmiany formy zabezpieczenia na jedną lub</w:t>
      </w:r>
      <w:r>
        <w:rPr>
          <w:color w:val="000000"/>
        </w:rPr>
        <w:t xml:space="preserve"> kilka form, o których mowa w pkt 4. powyżej, na zasadach określonych </w:t>
      </w:r>
      <w:r>
        <w:t>w Części III SWZ - Wzór Umowy</w:t>
      </w:r>
      <w:r>
        <w:rPr>
          <w:color w:val="000000"/>
        </w:rPr>
        <w:t>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Zmiana</w:t>
      </w:r>
      <w:r>
        <w:rPr>
          <w:color w:val="000000"/>
        </w:rPr>
        <w:t xml:space="preserve"> formy zabezpieczenia jest dokonywana z zachowaniem ciągłości zabezpieczenia i bez zmniejszenia jego wysokości.</w:t>
      </w:r>
    </w:p>
    <w:p w:rsidR="00791802" w:rsidRDefault="002834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t>Zwrot</w:t>
      </w:r>
      <w:r>
        <w:rPr>
          <w:color w:val="000000"/>
        </w:rPr>
        <w:t xml:space="preserve"> zabezpieczenia należytego wykon</w:t>
      </w:r>
      <w:r>
        <w:rPr>
          <w:color w:val="000000"/>
        </w:rPr>
        <w:t>ania umowy nastąpi w terminie i na warunkach określonych w Części III SWZ - Wzór Umowy.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59" w:name="_a5z09sps077q" w:colFirst="0" w:colLast="0"/>
      <w:bookmarkEnd w:id="59"/>
      <w:r>
        <w:rPr>
          <w:rFonts w:ascii="Arial" w:eastAsia="Arial" w:hAnsi="Arial" w:cs="Arial"/>
          <w:sz w:val="28"/>
          <w:szCs w:val="28"/>
        </w:rPr>
        <w:lastRenderedPageBreak/>
        <w:t>Podwykonawstwo</w:t>
      </w:r>
    </w:p>
    <w:p w:rsidR="00791802" w:rsidRDefault="0028340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 dopuszcza realizację Zamówień z udziałem podwykonawców.</w:t>
      </w:r>
    </w:p>
    <w:p w:rsidR="00791802" w:rsidRDefault="0028340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Zamawiający żąda wskazania przez Wykonawcę w ofercie części Zamówienia, której wykonanie zamierza powierzyć podwykonawcom.</w:t>
      </w:r>
    </w:p>
    <w:p w:rsidR="00791802" w:rsidRDefault="0028340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Wskazanie to ma nastąpić na wzorze stanowiącym Załącznik nr 3 do Części I SWZ – Instrukcja dla Wykonawców (IDW) i określać nazwę podw</w:t>
      </w:r>
      <w:r>
        <w:rPr>
          <w:color w:val="000000"/>
        </w:rPr>
        <w:t>ykonawców (o ile są już znani), a także wyszczególnienie zakresu prac realizowanych przez poszczególnych podwykonawców.</w:t>
      </w:r>
    </w:p>
    <w:p w:rsidR="00791802" w:rsidRDefault="00791802">
      <w:pPr>
        <w:pBdr>
          <w:top w:val="nil"/>
          <w:left w:val="nil"/>
          <w:bottom w:val="nil"/>
          <w:right w:val="nil"/>
          <w:between w:val="nil"/>
        </w:pBdr>
        <w:ind w:left="142"/>
      </w:pP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60" w:name="_fimyl055e0l7" w:colFirst="0" w:colLast="0"/>
      <w:bookmarkEnd w:id="60"/>
      <w:r>
        <w:rPr>
          <w:rFonts w:ascii="Arial" w:eastAsia="Arial" w:hAnsi="Arial" w:cs="Arial"/>
          <w:sz w:val="28"/>
          <w:szCs w:val="28"/>
        </w:rPr>
        <w:t>Czynności przed podpisaniem umowy</w:t>
      </w:r>
    </w:p>
    <w:p w:rsidR="00791802" w:rsidRDefault="002834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Zamawiający udziela Zamówienia poprzez zawarcie umowy w formie pisemnej albo w formie elektronicznej </w:t>
      </w:r>
      <w:r>
        <w:rPr>
          <w:color w:val="000000"/>
        </w:rPr>
        <w:t>w rozumieniu art. 78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ustawy z dnia 23 kwietnia 1964 r. - Kodeks Cywilny (tekst jednolity: Dz. U. z 2022 r., poz. 1360, ze zm.) z Wykonawcą, którego oferta została wybrana jako najkorzystniejsza. Zawarcie umowy w formie elektronicznej jest możliwe po uzysk</w:t>
      </w:r>
      <w:r>
        <w:rPr>
          <w:color w:val="000000"/>
        </w:rPr>
        <w:t>aniu zgody Zamawiającego.</w:t>
      </w:r>
    </w:p>
    <w:p w:rsidR="00791802" w:rsidRDefault="002834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Zamawiający wskazuje termin, miejsce i sposób zawarcia umowy po poinformowaniu o wyborze najkorzystniejszej oferty. </w:t>
      </w:r>
    </w:p>
    <w:p w:rsidR="00791802" w:rsidRDefault="002834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Wykonawca, którego oferta została wybrana jako najkorzystniejsza</w:t>
      </w:r>
      <w:r>
        <w:rPr>
          <w:color w:val="000000"/>
          <w:highlight w:val="white"/>
        </w:rPr>
        <w:t>, najpóźniej w dniu zawarcia umowy zobowiązany jest:</w:t>
      </w:r>
    </w:p>
    <w:p w:rsidR="00791802" w:rsidRDefault="0028340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wnieść zabezpieczenie należytego wykonania umowy zgodnie z wymaganiami wskazanymi w Rozdziale XV Części I SWZ – Instrukcja dla Wykonawców (IDW), przy czym przedłożone zabezpieczenie musi uzyskać akceptac</w:t>
      </w:r>
      <w:r>
        <w:rPr>
          <w:color w:val="000000"/>
        </w:rPr>
        <w:t xml:space="preserve">ję Zamawiającego przed podpisaniem umowy; </w:t>
      </w:r>
    </w:p>
    <w:p w:rsidR="00791802" w:rsidRDefault="0028340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 przypadku wykonawców wspólnie ubiegających się o udzielenie Zamówienia, których oferta została wybrana za najkorzystniejszą - przedłożyć Zamawiającemu kopię podpisanej umowy konsorcjum zgodnie z wymaganiami wska</w:t>
      </w:r>
      <w:r>
        <w:rPr>
          <w:color w:val="000000"/>
        </w:rPr>
        <w:t>zanymi w Rozdziale X pkt 5. Części I SWZ – Instrukcja dla Wykonawców (IDW);</w:t>
      </w:r>
    </w:p>
    <w:p w:rsidR="00791802" w:rsidRDefault="0028340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t>dostarczyć Zamawiającemu dokumenty ubezpieczeniowe, o których mowa w Części III SWZ - Wzór Umowy.</w:t>
      </w:r>
    </w:p>
    <w:p w:rsidR="00791802" w:rsidRDefault="002834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gdy Wykonawca, którego oferta została wybrana jako najkorzystniejsza, </w:t>
      </w:r>
      <w:r>
        <w:rPr>
          <w:color w:val="000000"/>
        </w:rPr>
        <w:t xml:space="preserve">uchyla się od zawarcia umowy z Zamawiającym lub nie realizuje zobowiązań, o których mowa w punkcie 4. powyżej, umowa nie zostanie zawarta z winy Wykonawcy a wniesione wadium zostanie zatrzymane. Zamawiający może w takiej sytuacji dokonać ponownego badania </w:t>
      </w:r>
      <w:r>
        <w:rPr>
          <w:color w:val="000000"/>
        </w:rPr>
        <w:t>i oceny ofert spośród ofert pozostałych w Postępowaniu wykonawców oraz wybrać najkorzystniejszą ofertę albo unieważnić Postępowanie.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61" w:name="_rvapomf3zqjg" w:colFirst="0" w:colLast="0"/>
      <w:bookmarkEnd w:id="61"/>
      <w:r>
        <w:rPr>
          <w:rFonts w:ascii="Arial" w:eastAsia="Arial" w:hAnsi="Arial" w:cs="Arial"/>
          <w:sz w:val="28"/>
          <w:szCs w:val="28"/>
        </w:rPr>
        <w:lastRenderedPageBreak/>
        <w:t>Pozostałe informacje</w:t>
      </w:r>
    </w:p>
    <w:p w:rsidR="00791802" w:rsidRDefault="0028340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zastrzega sobie prawo do unieważnienia Postępowania, jeżeli: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nie upłynął termin składania ofert,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nie złożono żadnej oferty niepodlegającej odrzuceniu bądź wszyscy Wykonawcy podlegają wykluczeniu,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cena najkorzystniejszej oferty przewyższa kwotę, którą Zamawiający zamierza przeznaczyć na sfinansowanie zamówienia, chyb</w:t>
      </w:r>
      <w:r>
        <w:rPr>
          <w:color w:val="000000"/>
        </w:rPr>
        <w:t>a że Zamawiający może zwiększyć tę kwotę do ceny najkorzystniejszej oferty,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p</w:t>
      </w:r>
      <w:r>
        <w:rPr>
          <w:color w:val="000000"/>
        </w:rPr>
        <w:t>ostępowanie obarczone jest wadą niemożliwą do usunięcia, w szczególności powodującą lub mogącą powodować nierozliczenie przez Zamawiającego środków Narodowego Funduszu Ochrony Śro</w:t>
      </w:r>
      <w:r>
        <w:rPr>
          <w:color w:val="000000"/>
        </w:rPr>
        <w:t>dowiska i Gospodarki Wodnej przeznaczonych na sfinansowanie Zamówienia, w tym zmniejszenie przyznanych środków,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wystąpiła zmiana okoliczności powodująca, że prowadzenie Postępowania lub wykonanie Zamówienia (w ogóle lub w aktualnym kształcie) nie leży w in</w:t>
      </w:r>
      <w:r>
        <w:rPr>
          <w:color w:val="000000"/>
        </w:rPr>
        <w:t>teresie Zamawiającego</w:t>
      </w:r>
      <w:r>
        <w:t>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wystąpiła sytuacja, o której mowa w Rozdziale XVII pkt 5. Części I SWZ – Instrukcja dla Wykonawców (IDW)</w:t>
      </w:r>
      <w:r>
        <w:t>,</w:t>
      </w:r>
    </w:p>
    <w:p w:rsidR="00791802" w:rsidRDefault="0028340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środki publiczne, które Zamawiający zamierzał przeznaczyć na sfinansowanie zamówienia, nie zostały mu przyznane.</w:t>
      </w:r>
    </w:p>
    <w:p w:rsidR="00791802" w:rsidRDefault="0028340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Koszty</w:t>
      </w:r>
      <w:r>
        <w:rPr>
          <w:color w:val="000000"/>
        </w:rPr>
        <w:t xml:space="preserve"> udziału</w:t>
      </w:r>
      <w:r>
        <w:rPr>
          <w:color w:val="000000"/>
        </w:rPr>
        <w:t xml:space="preserve"> w Postępowaniu ponoszą Wykonawcy. Zamawiający nie jest zobowiązany do zwrotu kosztów lub pokrycia ewentualnych szkód Wykonawców związanych z udziałem w Postępowaniu, w tym </w:t>
      </w:r>
      <w:r>
        <w:t>wskutek jego ewentualnego unieważnienia.</w:t>
      </w:r>
    </w:p>
    <w:p w:rsidR="00791802" w:rsidRDefault="0028340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Ze względu na to, że Zamawiający przewiduj</w:t>
      </w:r>
      <w:r>
        <w:t>e sfinansowanie zamówienia ze środków publicznych, zarówno decyzja o wyborze najkorzystniejszej oferty, jak i  o zawarciu umowy, mogą zostać przedłużone w przypadku przedłużenia się terminu uzyskania decyzji o dofinansowaniu.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bookmarkStart w:id="62" w:name="_8lip4j3jks63" w:colFirst="0" w:colLast="0"/>
      <w:bookmarkEnd w:id="62"/>
      <w:r>
        <w:rPr>
          <w:rFonts w:ascii="Arial" w:eastAsia="Arial" w:hAnsi="Arial" w:cs="Arial"/>
          <w:sz w:val="28"/>
          <w:szCs w:val="28"/>
        </w:rPr>
        <w:t>Postanowienia dotyczące RODO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osobowe są przetwarzane zgodnie z rozporządzeniem Parlamentu Europejskiego i Rady (UE) 2016/679 z dnia 27 kwietnia 2016 r. w sprawie ochrony osób fizycznych w związku z przetwarzaniem danych osobowych i w sprawie swobodnego przepływu takich danych ora</w:t>
      </w:r>
      <w:r>
        <w:rPr>
          <w:color w:val="000000"/>
        </w:rPr>
        <w:t>z uchylenia dyrektywy 95/46/WE (Dz. Urz. UE L Nr 119, str. 1) (dalej „</w:t>
      </w:r>
      <w:r>
        <w:rPr>
          <w:b/>
          <w:color w:val="000000"/>
        </w:rPr>
        <w:t>RODO</w:t>
      </w:r>
      <w:r>
        <w:rPr>
          <w:color w:val="000000"/>
        </w:rPr>
        <w:t>”).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rPr>
          <w:color w:val="000000"/>
        </w:rPr>
        <w:t>Współadministratorami</w:t>
      </w:r>
      <w:proofErr w:type="spellEnd"/>
      <w:r>
        <w:rPr>
          <w:color w:val="000000"/>
        </w:rPr>
        <w:t xml:space="preserve"> danych osobowych przetwarzanych w trakcie prowadzonego Postępowania są: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8" w:hanging="435"/>
        <w:rPr>
          <w:color w:val="000000"/>
        </w:rPr>
      </w:pPr>
      <w:proofErr w:type="spellStart"/>
      <w:r>
        <w:rPr>
          <w:color w:val="000000"/>
        </w:rPr>
        <w:t>Veolia</w:t>
      </w:r>
      <w:proofErr w:type="spellEnd"/>
      <w:r>
        <w:rPr>
          <w:color w:val="000000"/>
        </w:rPr>
        <w:t xml:space="preserve"> Energia Polska S.A. z siedzibą w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lastRenderedPageBreak/>
        <w:t>Ve</w:t>
      </w:r>
      <w:r>
        <w:t>olia</w:t>
      </w:r>
      <w:proofErr w:type="spellEnd"/>
      <w:r>
        <w:rPr>
          <w:color w:val="000000"/>
        </w:rPr>
        <w:t xml:space="preserve"> Centrum Usług Wspólnych Sp. z o.o. z siedzibą w Poznaniu (61-016) przy ul. Energetycznej 3,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rPr>
          <w:color w:val="000000"/>
        </w:rPr>
        <w:t>Ve</w:t>
      </w:r>
      <w:r>
        <w:t>olia</w:t>
      </w:r>
      <w:proofErr w:type="spellEnd"/>
      <w:r>
        <w:t xml:space="preserve"> Energia Poznań S.A. z siedzibą w Poznaniu (61-016) przy ul. Energetycznej 3,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Energia Warszawa S.A. z siedzibą w Warszawie (02-591) przy ul. Bator</w:t>
      </w:r>
      <w:r>
        <w:t>ego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Energia Łódź S.A. z siedzibą w Łodzi (92-550 Łódź) przy ul. J. Andrzejewskiej 5,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term S.A. z siedzibą w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</w:t>
      </w:r>
      <w:r>
        <w:rPr>
          <w:color w:val="000000"/>
        </w:rPr>
        <w:t>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Industry</w:t>
      </w:r>
      <w:proofErr w:type="spellEnd"/>
      <w:r>
        <w:rPr>
          <w:color w:val="000000"/>
        </w:rPr>
        <w:t xml:space="preserve"> Polska sp. z o.o. z siedzibą w Poznaniu (61-696) przy Al. Solidarności 46</w:t>
      </w:r>
      <w:r>
        <w:rPr>
          <w:color w:val="000000"/>
        </w:rPr>
        <w:t>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rPr>
          <w:color w:val="000000"/>
        </w:rPr>
        <w:t>Ve</w:t>
      </w:r>
      <w:r>
        <w:t>olia</w:t>
      </w:r>
      <w:proofErr w:type="spellEnd"/>
      <w:r>
        <w:t xml:space="preserve"> Północ Sp. z o.o. z siedzibą w Świecie (86-105) przy ul. Ciepłej 9,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Południe Sp. z o.o. z siedzibą w Tarnowskich Górach (42-600) przy ul. Zagórskiej 173,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Wschód Sp. z o.o. z siedzibą w Zamościu (22-400) przy ul. Hrubieszowskiej 173,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Szczytno Sp. z o.o. z siedzibą w Szczytnie (12-100) przy ul. Solidarności 17,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r>
        <w:t xml:space="preserve">Fundacja </w:t>
      </w:r>
      <w:proofErr w:type="spellStart"/>
      <w:r>
        <w:t>Veolia</w:t>
      </w:r>
      <w:proofErr w:type="spellEnd"/>
      <w:r>
        <w:t xml:space="preserve"> Polska z siedzibą w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r>
        <w:t>Przedsiębiorstwo Wodociągów i Kanalizacji Sp. z o. o. w Tarnowskich Górach z siedzibą w Tarno</w:t>
      </w:r>
      <w:r>
        <w:t>wskich Górach (42-600) przy ul. Opolskiej 51,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EKOZEC</w:t>
      </w:r>
      <w:r>
        <w:rPr>
          <w:color w:val="000000"/>
        </w:rPr>
        <w:t xml:space="preserve"> Sp. z o.o. z siedzibą w Poznaniu (61-016) przy ul. Energetycznej 7A,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r>
        <w:t>Construction</w:t>
      </w:r>
      <w:r>
        <w:rPr>
          <w:color w:val="000000"/>
        </w:rPr>
        <w:t xml:space="preserve"> Development Center Sp. z o.o. z siedzibą w Poznaniu (61-017) przy ul. Energetycznej 7A,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r>
        <w:t>PEC</w:t>
      </w:r>
      <w:r>
        <w:t xml:space="preserve"> Wągrowiec Sp. z o.o. z</w:t>
      </w:r>
      <w:r>
        <w:t xml:space="preserve"> siedzibą w Wągrowcu (62-100) przy ul. Mieczysława Jeżyka 52,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Zachód Sp. z o.o. z siedzibą we Wrocławiu (53-333) przy  ul. Powstańców Śląskich 28/30,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Energy </w:t>
      </w:r>
      <w:proofErr w:type="spellStart"/>
      <w:r>
        <w:t>Contracting</w:t>
      </w:r>
      <w:proofErr w:type="spellEnd"/>
      <w:r>
        <w:t xml:space="preserve"> Poland Sp. z o.o. z siedzibą w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Mała Kogeneracja Warszawa sp. z o.o. z siedzibą w Warszawie (02-591) przy ul.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r>
        <w:t>Stefana Batorego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M</w:t>
      </w:r>
      <w:r>
        <w:t>ała Kogeneracja Warszawa 1 sp. z o.o. z siedzibą w Warszawie (02-591) przy ul. Stefana Batorego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</w:t>
      </w:r>
      <w:r>
        <w:t>olia</w:t>
      </w:r>
      <w:proofErr w:type="spellEnd"/>
      <w:r>
        <w:t xml:space="preserve"> Mała Kogeneracja 1 sp. z o.o. z siedz</w:t>
      </w:r>
      <w:r>
        <w:t>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Mała Kogeneracja 2 sp. z o.o. z siedzibą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lastRenderedPageBreak/>
        <w:t>Veolia</w:t>
      </w:r>
      <w:proofErr w:type="spellEnd"/>
      <w:r>
        <w:t xml:space="preserve"> Mała Kogeneracja 3 sp. z o.o. z siedzibą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Small CHP 1 sp. z o.o. </w:t>
      </w:r>
      <w:r>
        <w:t>z siedzibą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Small CHP 2 sp. z o.o. z siedzibą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ESCO Polska sp. z o.o. z siedzibą Warszawie (02-566) przy ul. Puławskiej 2,</w:t>
      </w:r>
    </w:p>
    <w:p w:rsidR="00791802" w:rsidRDefault="0028340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08" w:hanging="435"/>
      </w:pPr>
      <w:proofErr w:type="spellStart"/>
      <w:r>
        <w:t>Veolia</w:t>
      </w:r>
      <w:proofErr w:type="spellEnd"/>
      <w:r>
        <w:t xml:space="preserve"> </w:t>
      </w:r>
      <w:r>
        <w:t>Woda</w:t>
      </w:r>
      <w:r>
        <w:t xml:space="preserve"> Polska sp. z o.o. z siedz</w:t>
      </w:r>
      <w:r>
        <w:t>ibą Warszawie (02-566) przy ul. Puławskiej 2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Osobą</w:t>
      </w:r>
      <w:r>
        <w:rPr>
          <w:color w:val="000000"/>
        </w:rPr>
        <w:t xml:space="preserve"> odpowiedzialną za ochronę danych osobowych u Zamawiającego jest powołany </w:t>
      </w:r>
      <w:r>
        <w:t>I</w:t>
      </w:r>
      <w:r>
        <w:rPr>
          <w:color w:val="000000"/>
        </w:rPr>
        <w:t xml:space="preserve">nspektor ochrony danych osobowych, z którym można się kontaktować pod adresem e-mail </w:t>
      </w:r>
      <w:hyperlink r:id="rId13">
        <w:r>
          <w:rPr>
            <w:color w:val="000000"/>
          </w:rPr>
          <w:t>inspektor.pl.vpol@veolia.com</w:t>
        </w:r>
      </w:hyperlink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osobowe będą przetwarzane w następujących celach i na podstawach prawnych: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przeprowadzenia Postępowania oraz w celu przechowywania dokumentacji Postępowania po jego zako</w:t>
      </w:r>
      <w:r>
        <w:rPr>
          <w:color w:val="000000"/>
        </w:rPr>
        <w:t>ńczeniu (art. 6 ust. 1 lit. c) RODO),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 prawnie uzasadnionym celu (art. 6 ust. 1 lit. c)</w:t>
      </w:r>
      <w:r>
        <w:t xml:space="preserve"> </w:t>
      </w:r>
      <w:r>
        <w:t>oraz f) RODO</w:t>
      </w:r>
      <w:r>
        <w:rPr>
          <w:color w:val="000000"/>
        </w:rPr>
        <w:t>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dochodzenia lub obrony przed roszczeniami (art. 6 ust. 1 lit. f) RODO),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zawarcia umowy – w celu realizacji umowy lub zlecenia zakupu, podejm</w:t>
      </w:r>
      <w:r>
        <w:rPr>
          <w:color w:val="000000"/>
        </w:rPr>
        <w:t>owania bieżących kontaktów z przedstawicielami Stron, prowadzeniem rozliczeń, a także w celu spełnienia obowiązków prawa, w szczególności obowiązków podatkowych i rachunkowych (art. 6 ust. 1 lit. b), c) i f) RODO),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podejmowania</w:t>
      </w:r>
      <w:r>
        <w:rPr>
          <w:color w:val="000000"/>
        </w:rPr>
        <w:t xml:space="preserve"> działań nadzorczych, w tym t</w:t>
      </w:r>
      <w:r>
        <w:rPr>
          <w:color w:val="000000"/>
        </w:rPr>
        <w:t>worzenia statystyk zestawień i analiz na potrzeby własne (art. 6 ust. 1 lit. f) RODO),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przetwarzania danych o karalności – na podstawie art. 6 ust. 1 lit. c) RODO w zw. z art. 10 RODO, tj. wyłącznie w przypadku, gdy szczególne przepisy prawa wp</w:t>
      </w:r>
      <w:r>
        <w:rPr>
          <w:color w:val="000000"/>
        </w:rPr>
        <w:t>rost stanowią podstawę prawną do przetwarzania tych danych osobowych o określonych osobach.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ramach Postępowania przetwarzane są dane osobowe niezbędne do przeprowadzenia Postępowania, tj. następujące kategorie danych: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identyfikacyjne Wykonawców, czł</w:t>
      </w:r>
      <w:r>
        <w:rPr>
          <w:color w:val="000000"/>
        </w:rPr>
        <w:t>onków organów lub przedstawicieli Wykonawców, podmiotów trzecich, podwykonawców i innych osób wskazanych w dokumentach składanych w toku Postępowania,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teleadresowe ww. osób,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dane o wykształceniu, o ile ze specyfikacji wynika obowiązek jego </w:t>
      </w:r>
      <w:r>
        <w:t>podania</w:t>
      </w:r>
      <w:r>
        <w:rPr>
          <w:color w:val="000000"/>
        </w:rPr>
        <w:t>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</w:t>
      </w:r>
      <w:r>
        <w:t>ne</w:t>
      </w:r>
      <w:r>
        <w:rPr>
          <w:color w:val="000000"/>
        </w:rPr>
        <w:t xml:space="preserve"> na temat stażu pracy, o ile ze specyfikacji wynika obowiązek jego podania,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>dane</w:t>
      </w:r>
      <w:r>
        <w:rPr>
          <w:color w:val="000000"/>
        </w:rPr>
        <w:t xml:space="preserve"> o uprawnieniach zawodowych i kwalifikacjach, o ile ze specyfikacji wynika obowiązek podania tych danych,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dotyczące występowania przesłanek wykluczenia.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Odbiorcami</w:t>
      </w:r>
      <w:r>
        <w:rPr>
          <w:color w:val="000000"/>
        </w:rPr>
        <w:t xml:space="preserve"> danyc</w:t>
      </w:r>
      <w:r>
        <w:rPr>
          <w:color w:val="000000"/>
        </w:rPr>
        <w:t>h mogą być: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osoby</w:t>
      </w:r>
      <w:r>
        <w:rPr>
          <w:color w:val="000000"/>
        </w:rPr>
        <w:t xml:space="preserve"> i podmioty upoważnione do przeprowadzenia kontroli,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podmioty</w:t>
      </w:r>
      <w:r>
        <w:rPr>
          <w:color w:val="000000"/>
        </w:rPr>
        <w:t xml:space="preserve"> upoważnione na podstawie obowiązujących przepisów prawa (np. sądy, organy państwowe),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podmioty świadczące usługi na rzecz Zamawiającego, takie jak usługi </w:t>
      </w:r>
      <w:r>
        <w:t>doręczania</w:t>
      </w:r>
      <w:r>
        <w:rPr>
          <w:color w:val="000000"/>
        </w:rPr>
        <w:t xml:space="preserve"> korespondencji, drukarskie i archiwizacyjne, informatyczne i telekomunikacyjne, księgowe finansowe i podatkowe, doradcze lub prawne.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Dane</w:t>
      </w:r>
      <w:r>
        <w:rPr>
          <w:color w:val="000000"/>
        </w:rPr>
        <w:t xml:space="preserve"> osobowe będą przechowywane przez czas trwania Postępowania o udzielenie zamówienia, a następnie przez okres przechowywania dokumentacji Postępowania zgodnie z obowiązującymi przepisami; obecnie okres ten wynosi 5 lub 10 lat. 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Niezależnie</w:t>
      </w:r>
      <w:r>
        <w:rPr>
          <w:color w:val="000000"/>
        </w:rPr>
        <w:t xml:space="preserve"> od powyższego, da</w:t>
      </w:r>
      <w:r>
        <w:rPr>
          <w:color w:val="000000"/>
        </w:rPr>
        <w:t xml:space="preserve">ne osobowe będą przetwarzane do momentu przedawnienia roszczeń z tytułu umowy zawartej z Wykonawcą w wyniku Postępowania, a także roszczeń związanych z przetwarzaniem danych osobowych. 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Osobie</w:t>
      </w:r>
      <w:r>
        <w:rPr>
          <w:color w:val="000000"/>
        </w:rPr>
        <w:t>, której dane osobowe będą przetwarzane, przysługuje prawo dostę</w:t>
      </w:r>
      <w:r>
        <w:rPr>
          <w:color w:val="000000"/>
        </w:rPr>
        <w:t>pu do treści swoich danych oraz prawo do: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sprostowania</w:t>
      </w:r>
      <w:r>
        <w:rPr>
          <w:color w:val="000000"/>
        </w:rPr>
        <w:t xml:space="preserve"> danych,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usunięcia</w:t>
      </w:r>
      <w:r>
        <w:rPr>
          <w:color w:val="000000"/>
        </w:rPr>
        <w:t xml:space="preserve"> danych, z zastrzeżeniem </w:t>
      </w:r>
      <w:proofErr w:type="spellStart"/>
      <w:r>
        <w:rPr>
          <w:color w:val="000000"/>
        </w:rPr>
        <w:t>wyłączeń</w:t>
      </w:r>
      <w:proofErr w:type="spellEnd"/>
      <w:r>
        <w:rPr>
          <w:color w:val="000000"/>
        </w:rPr>
        <w:t xml:space="preserve"> wskazanych w art. 17 ust. 2 RODO,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ograniczenia</w:t>
      </w:r>
      <w:r>
        <w:rPr>
          <w:color w:val="000000"/>
        </w:rPr>
        <w:t xml:space="preserve"> przetwarzania danych,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żądania</w:t>
      </w:r>
      <w:r>
        <w:rPr>
          <w:color w:val="000000"/>
        </w:rPr>
        <w:t xml:space="preserve"> przeniesienia danych w przypadku wskazanym w art. 20 ust. 1 RODO,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wniesie</w:t>
      </w:r>
      <w:r>
        <w:t>nia</w:t>
      </w:r>
      <w:r>
        <w:rPr>
          <w:color w:val="000000"/>
        </w:rPr>
        <w:t xml:space="preserve"> sprzeciwu wobec przetwarzania danych na zasadach przewidzianych w art. 21 RODO.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Skorzystanie</w:t>
      </w:r>
      <w:r>
        <w:rPr>
          <w:color w:val="000000"/>
        </w:rPr>
        <w:t xml:space="preserve"> przez osobę, której dane osobowe dotyczą, z ww. uprawnień nie może być niezgodne z przepisami prawa, a w szczególności nie może skutkować zmianą wyniku Postępo</w:t>
      </w:r>
      <w:r>
        <w:rPr>
          <w:color w:val="000000"/>
        </w:rPr>
        <w:t xml:space="preserve">wania o udzielenie zamówienia. 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Zamawiający</w:t>
      </w:r>
      <w:r>
        <w:rPr>
          <w:color w:val="000000"/>
        </w:rPr>
        <w:t xml:space="preserve"> przetwarza dane osobowe zebrane w Postępowaniu w sposób gwarantujący ich zabezpieczenie przed bezprawnym rozpowszechnianiem. 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celu skorzystania z praw wskazanych w pkt </w:t>
      </w:r>
      <w:r>
        <w:t>9</w:t>
      </w:r>
      <w:r>
        <w:rPr>
          <w:color w:val="000000"/>
        </w:rPr>
        <w:t>. powyżej należy skontaktować się z admin</w:t>
      </w:r>
      <w:r>
        <w:rPr>
          <w:color w:val="000000"/>
        </w:rPr>
        <w:t xml:space="preserve">istratorem lub z Inspektorem ochrony danych. Dane kontaktowe wskazane zostały w pkt 2-3 powyżej. 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Osobie</w:t>
      </w:r>
      <w:r>
        <w:rPr>
          <w:color w:val="000000"/>
        </w:rPr>
        <w:t>, której dane osobowe będą przetwarzane w toku Postępowania, w razie, gdy uzna ona, iż przetwarzanie jej danych osobowych narusza przepisy RODO, przysłu</w:t>
      </w:r>
      <w:r>
        <w:rPr>
          <w:color w:val="000000"/>
        </w:rPr>
        <w:t xml:space="preserve">guje prawo wniesienia skargi do organu nadzorczego zajmującego się </w:t>
      </w:r>
      <w:r>
        <w:rPr>
          <w:color w:val="000000"/>
        </w:rPr>
        <w:lastRenderedPageBreak/>
        <w:t>ochroną danych osobowych, tj. do Prezesa Urzędu Ochrony Danych Osobowych w Warszawie, ul. Stawki 2, infolinia: 606 950 000.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W</w:t>
      </w:r>
      <w:r>
        <w:rPr>
          <w:color w:val="000000"/>
        </w:rPr>
        <w:t xml:space="preserve"> przypadku danych osobowych Wykonawców – osób fizycznych, dane o</w:t>
      </w:r>
      <w:r>
        <w:rPr>
          <w:color w:val="000000"/>
        </w:rPr>
        <w:t>sobowe przetwarzane w czasie Postępowania pochodzą bezpośrednio od osoby, której dane dotyczą, zaś w innych przypadkach zostaną pozyskane przez administratora z następujących źródeł: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Wykonawcy </w:t>
      </w:r>
      <w:r>
        <w:rPr>
          <w:color w:val="000000"/>
        </w:rPr>
        <w:t>– osoby prawne i jednostki organizacyjne uczestniczące w Postęp</w:t>
      </w:r>
      <w:r>
        <w:rPr>
          <w:color w:val="000000"/>
        </w:rPr>
        <w:t>owaniu, poprzez składane w Postępowaniu oferty, wnioski i pisma,</w:t>
      </w:r>
    </w:p>
    <w:p w:rsidR="00791802" w:rsidRDefault="00283407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źródła</w:t>
      </w:r>
      <w:r>
        <w:rPr>
          <w:color w:val="000000"/>
        </w:rPr>
        <w:t xml:space="preserve"> informacji publicznie dostępne takie jak rejestr przedsiębiorców lub centralna ewidencja działalności gospodarczej.</w:t>
      </w:r>
    </w:p>
    <w:p w:rsidR="00791802" w:rsidRDefault="0028340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</w:pPr>
      <w:r>
        <w:t>Podanie</w:t>
      </w:r>
      <w:r>
        <w:rPr>
          <w:color w:val="000000"/>
        </w:rPr>
        <w:t xml:space="preserve"> danych przez osobę, której dane dotyczą, jest dobrowolne, al</w:t>
      </w:r>
      <w:r>
        <w:rPr>
          <w:color w:val="000000"/>
        </w:rPr>
        <w:t>e niezbędne do wzięcia udziału w Postępowaniu. Niepodanie danych może uniemożliwić Zamawiającemu dokonanie oceny spełniania warunków udziału w Postępowaniu oraz niepodlegania wykluczeniu, co skutkować może wykluczeniem Wykonawcy z Postępowania lub odrzucen</w:t>
      </w:r>
      <w:r>
        <w:rPr>
          <w:color w:val="000000"/>
        </w:rPr>
        <w:t xml:space="preserve">iem jego </w:t>
      </w:r>
      <w:bookmarkStart w:id="63" w:name="_GoBack"/>
      <w:bookmarkEnd w:id="63"/>
      <w:r>
        <w:rPr>
          <w:color w:val="000000"/>
        </w:rPr>
        <w:t xml:space="preserve">oferty.  </w:t>
      </w:r>
    </w:p>
    <w:p w:rsidR="00791802" w:rsidRDefault="00283407">
      <w:pPr>
        <w:pStyle w:val="Nagwek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bookmarkStart w:id="64" w:name="_wvh8sf34khe" w:colFirst="0" w:colLast="0"/>
      <w:bookmarkEnd w:id="64"/>
      <w:r>
        <w:rPr>
          <w:rFonts w:ascii="Arial" w:eastAsia="Arial" w:hAnsi="Arial" w:cs="Arial"/>
          <w:sz w:val="28"/>
          <w:szCs w:val="28"/>
        </w:rPr>
        <w:t>Wykaz załączników do Części I SWZ – Instrukcja dla Wykonawców (IDW)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>Załącznik nr 1 – Formularz oferty.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bookmarkStart w:id="65" w:name="_fa4dlf965ay5" w:colFirst="0" w:colLast="0"/>
      <w:bookmarkEnd w:id="65"/>
      <w:r>
        <w:t>Załącznik nr 1A-1– Formularz cenowy.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bookmarkStart w:id="66" w:name="_aa5iioje6cyu" w:colFirst="0" w:colLast="0"/>
      <w:bookmarkEnd w:id="66"/>
      <w:r>
        <w:t>Załącznik nr 1A-2 - Opis Techniczny - Technologiczny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 xml:space="preserve">Załącznik nr 2 – </w:t>
      </w:r>
      <w:r>
        <w:t>Formularz do zadawania pytań.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>Załącznik nr 3 – Oświadczenie o podwykonawcach.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>Załącznik nr 4 – Wykaz Zamówień.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>Załącznik nr 5 – Wykaz Osób.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  <w:rPr>
          <w:color w:val="000000"/>
        </w:rPr>
      </w:pPr>
      <w:r>
        <w:rPr>
          <w:color w:val="000000"/>
        </w:rPr>
        <w:t>Załącznik nr 6 – Oświadczenie o powiązaniach kapitałowych i osobowych.</w:t>
      </w:r>
    </w:p>
    <w:p w:rsidR="00791802" w:rsidRDefault="002834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 w:hanging="425"/>
      </w:pPr>
      <w:r>
        <w:rPr>
          <w:color w:val="000000"/>
        </w:rPr>
        <w:t>Załącznik nr 7 – Zobowiązanie do udostępnieni</w:t>
      </w:r>
      <w:r>
        <w:rPr>
          <w:color w:val="000000"/>
        </w:rPr>
        <w:t xml:space="preserve">a zasobów podmiotu trzeciego. 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bookmarkStart w:id="67" w:name="_vfhk8ellap22" w:colFirst="0" w:colLast="0"/>
      <w:bookmarkEnd w:id="67"/>
      <w:r>
        <w:t>Załącznik nr 8</w:t>
      </w:r>
      <w:r>
        <w:t xml:space="preserve"> – Oświadczenie o braku zaistnienia przesłanek wykluczenia.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r>
        <w:t>Załącznik nr 9</w:t>
      </w:r>
      <w:r>
        <w:t xml:space="preserve"> – Kwestionariusz ESG.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r>
        <w:t>Załącznik nr 10</w:t>
      </w:r>
      <w:r>
        <w:t xml:space="preserve"> – Instrukcja oceny Kwestionariusza </w:t>
      </w:r>
      <w:r>
        <w:t>ESG</w:t>
      </w:r>
      <w:r>
        <w:t>.</w:t>
      </w:r>
    </w:p>
    <w:p w:rsidR="00791802" w:rsidRDefault="00283407">
      <w:pPr>
        <w:numPr>
          <w:ilvl w:val="0"/>
          <w:numId w:val="3"/>
        </w:numPr>
        <w:spacing w:before="0" w:after="0"/>
        <w:ind w:left="992" w:hanging="425"/>
      </w:pPr>
      <w:r>
        <w:t>Załącznik nr 11</w:t>
      </w:r>
      <w:r>
        <w:t xml:space="preserve"> – Oświadczenie o zachowaniu poufności. </w:t>
      </w:r>
    </w:p>
    <w:p w:rsidR="00791802" w:rsidRDefault="00283407">
      <w:pPr>
        <w:pBdr>
          <w:top w:val="nil"/>
          <w:left w:val="nil"/>
          <w:bottom w:val="nil"/>
          <w:right w:val="nil"/>
          <w:between w:val="nil"/>
        </w:pBdr>
        <w:ind w:left="425"/>
        <w:rPr>
          <w:color w:val="000000"/>
        </w:rPr>
      </w:pPr>
      <w:r>
        <w:rPr>
          <w:color w:val="000000"/>
        </w:rPr>
        <w:t>Wskazane powyżej załączniki Wykonawca wypełnia stosownie do treści SWZ. Zamawiający dopuszcza zmiany wielkości pól załączników oraz odmiany wyrazów wynikające ze złożenia oferty przez wykonawców wspólnie ubiegających się o udzielenie Zamówienia. Wprowadzon</w:t>
      </w:r>
      <w:r>
        <w:rPr>
          <w:color w:val="000000"/>
        </w:rPr>
        <w:t>e zmiany nie mogą zmieniać treści załączników.</w:t>
      </w:r>
    </w:p>
    <w:p w:rsidR="00791802" w:rsidRDefault="00791802"/>
    <w:sectPr w:rsidR="00791802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407" w:rsidRDefault="00283407">
      <w:pPr>
        <w:spacing w:before="0" w:after="0"/>
      </w:pPr>
      <w:r>
        <w:separator/>
      </w:r>
    </w:p>
  </w:endnote>
  <w:endnote w:type="continuationSeparator" w:id="0">
    <w:p w:rsidR="00283407" w:rsidRDefault="002834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802" w:rsidRDefault="00791802">
    <w:pPr>
      <w:spacing w:before="60" w:after="0" w:line="360" w:lineRule="auto"/>
      <w:rPr>
        <w:sz w:val="20"/>
        <w:szCs w:val="20"/>
      </w:rPr>
    </w:pPr>
  </w:p>
  <w:tbl>
    <w:tblPr>
      <w:tblStyle w:val="a0"/>
      <w:tblW w:w="9180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165"/>
      <w:gridCol w:w="3105"/>
      <w:gridCol w:w="2910"/>
    </w:tblGrid>
    <w:tr w:rsidR="00791802">
      <w:trPr>
        <w:jc w:val="center"/>
      </w:trPr>
      <w:tc>
        <w:tcPr>
          <w:tcW w:w="316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-13" w:type="dxa"/>
            <w:left w:w="-13" w:type="dxa"/>
            <w:bottom w:w="-13" w:type="dxa"/>
            <w:right w:w="-13" w:type="dxa"/>
          </w:tcMar>
        </w:tcPr>
        <w:p w:rsidR="00791802" w:rsidRDefault="00283407">
          <w:pPr>
            <w:widowControl w:val="0"/>
            <w:spacing w:before="0" w:after="0"/>
            <w:ind w:left="-425"/>
            <w:rPr>
              <w:b/>
              <w:sz w:val="22"/>
              <w:szCs w:val="22"/>
            </w:rPr>
          </w:pPr>
          <w:r>
            <w:rPr>
              <w:sz w:val="16"/>
              <w:szCs w:val="16"/>
            </w:rPr>
            <w:t>WH</w:t>
          </w:r>
        </w:p>
        <w:p w:rsidR="00791802" w:rsidRDefault="00791802">
          <w:pPr>
            <w:widowControl w:val="0"/>
            <w:spacing w:before="0" w:after="0"/>
            <w:ind w:left="-425"/>
            <w:rPr>
              <w:b/>
              <w:sz w:val="22"/>
              <w:szCs w:val="22"/>
            </w:rPr>
          </w:pPr>
        </w:p>
      </w:tc>
      <w:tc>
        <w:tcPr>
          <w:tcW w:w="310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-13" w:type="dxa"/>
            <w:left w:w="-13" w:type="dxa"/>
            <w:bottom w:w="-13" w:type="dxa"/>
            <w:right w:w="-13" w:type="dxa"/>
          </w:tcMar>
        </w:tcPr>
        <w:p w:rsidR="00791802" w:rsidRDefault="00791802">
          <w:pPr>
            <w:widowControl w:val="0"/>
            <w:spacing w:before="0" w:after="0"/>
            <w:jc w:val="center"/>
            <w:rPr>
              <w:sz w:val="16"/>
              <w:szCs w:val="16"/>
            </w:rPr>
          </w:pPr>
        </w:p>
      </w:tc>
      <w:tc>
        <w:tcPr>
          <w:tcW w:w="29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-13" w:type="dxa"/>
            <w:left w:w="-13" w:type="dxa"/>
            <w:bottom w:w="-13" w:type="dxa"/>
            <w:right w:w="-13" w:type="dxa"/>
          </w:tcMar>
        </w:tcPr>
        <w:p w:rsidR="00791802" w:rsidRDefault="00283407">
          <w:pPr>
            <w:spacing w:before="60" w:after="0" w:line="36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 w:rsidR="00072F61">
            <w:rPr>
              <w:sz w:val="16"/>
              <w:szCs w:val="16"/>
            </w:rPr>
            <w:fldChar w:fldCharType="separate"/>
          </w:r>
          <w:r w:rsidR="00072F6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 w:rsidR="00072F61">
            <w:rPr>
              <w:sz w:val="16"/>
              <w:szCs w:val="16"/>
            </w:rPr>
            <w:fldChar w:fldCharType="separate"/>
          </w:r>
          <w:r w:rsidR="00072F6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791802" w:rsidRDefault="00791802">
    <w:pPr>
      <w:jc w:val="lef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802" w:rsidRDefault="007918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407" w:rsidRDefault="00283407">
      <w:pPr>
        <w:spacing w:before="0" w:after="0"/>
      </w:pPr>
      <w:r>
        <w:separator/>
      </w:r>
    </w:p>
  </w:footnote>
  <w:footnote w:type="continuationSeparator" w:id="0">
    <w:p w:rsidR="00283407" w:rsidRDefault="002834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802" w:rsidRDefault="00283407">
    <w:pPr>
      <w:numPr>
        <w:ilvl w:val="0"/>
        <w:numId w:val="4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Verdana" w:eastAsia="Verdana" w:hAnsi="Verdana" w:cs="Verdana"/>
        <w:b/>
        <w:color w:val="000000"/>
        <w:sz w:val="18"/>
        <w:szCs w:val="18"/>
      </w:rPr>
    </w:pPr>
    <w:r>
      <w:rPr>
        <w:rFonts w:ascii="Verdana" w:eastAsia="Verdana" w:hAnsi="Verdana" w:cs="Verdana"/>
        <w:b/>
        <w:color w:val="000000"/>
        <w:sz w:val="18"/>
        <w:szCs w:val="18"/>
      </w:rPr>
      <w:fldChar w:fldCharType="begin"/>
    </w:r>
    <w:r>
      <w:rPr>
        <w:rFonts w:ascii="Verdana" w:eastAsia="Verdana" w:hAnsi="Verdana" w:cs="Verdana"/>
        <w:b/>
        <w:color w:val="000000"/>
        <w:sz w:val="18"/>
        <w:szCs w:val="18"/>
      </w:rPr>
      <w:instrText>PAGE</w:instrText>
    </w:r>
    <w:r>
      <w:rPr>
        <w:rFonts w:ascii="Verdana" w:eastAsia="Verdana" w:hAnsi="Verdana" w:cs="Verdana"/>
        <w:b/>
        <w:color w:val="000000"/>
        <w:sz w:val="18"/>
        <w:szCs w:val="18"/>
      </w:rPr>
      <w:fldChar w:fldCharType="end"/>
    </w:r>
  </w:p>
  <w:p w:rsidR="00791802" w:rsidRDefault="00791802">
    <w:pPr>
      <w:numPr>
        <w:ilvl w:val="0"/>
        <w:numId w:val="4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</w:pPr>
  </w:p>
  <w:p w:rsidR="00791802" w:rsidRDefault="00791802"/>
  <w:p w:rsidR="00791802" w:rsidRDefault="007918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802" w:rsidRDefault="00283407">
    <w:pPr>
      <w:tabs>
        <w:tab w:val="center" w:pos="4535"/>
        <w:tab w:val="left" w:pos="7950"/>
      </w:tabs>
      <w:jc w:val="left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731200" cy="546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91802" w:rsidRDefault="00791802">
    <w:pPr>
      <w:tabs>
        <w:tab w:val="center" w:pos="4535"/>
        <w:tab w:val="left" w:pos="7950"/>
      </w:tabs>
      <w:jc w:val="lef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802" w:rsidRDefault="00791802">
    <w:pPr>
      <w:spacing w:before="0" w:after="0" w:line="276" w:lineRule="auto"/>
      <w:ind w:left="-1410" w:right="-141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3C9D"/>
    <w:multiLevelType w:val="multilevel"/>
    <w:tmpl w:val="3F6446B8"/>
    <w:lvl w:ilvl="0">
      <w:start w:val="1"/>
      <w:numFmt w:val="upperRoman"/>
      <w:lvlText w:val="%1."/>
      <w:lvlJc w:val="righ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2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1.%3"/>
      <w:lvlJc w:val="left"/>
      <w:pPr>
        <w:ind w:left="360" w:hanging="360"/>
      </w:pPr>
    </w:lvl>
    <w:lvl w:ilvl="3">
      <w:start w:val="1"/>
      <w:numFmt w:val="decimal"/>
      <w:lvlText w:val="3.%4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4FC78CF"/>
    <w:multiLevelType w:val="multilevel"/>
    <w:tmpl w:val="E7AC3D92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2" w15:restartNumberingAfterBreak="0">
    <w:nsid w:val="05F52E57"/>
    <w:multiLevelType w:val="multilevel"/>
    <w:tmpl w:val="049C35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EB25F2"/>
    <w:multiLevelType w:val="multilevel"/>
    <w:tmpl w:val="CEAC17A8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4" w15:restartNumberingAfterBreak="0">
    <w:nsid w:val="0CE13414"/>
    <w:multiLevelType w:val="multilevel"/>
    <w:tmpl w:val="5246B25A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5" w15:restartNumberingAfterBreak="0">
    <w:nsid w:val="0E2E33A7"/>
    <w:multiLevelType w:val="multilevel"/>
    <w:tmpl w:val="A5703560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6" w15:restartNumberingAfterBreak="0">
    <w:nsid w:val="1AC935F4"/>
    <w:multiLevelType w:val="multilevel"/>
    <w:tmpl w:val="38A8FA8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7" w15:restartNumberingAfterBreak="0">
    <w:nsid w:val="1B6809B0"/>
    <w:multiLevelType w:val="multilevel"/>
    <w:tmpl w:val="B05C5FC6"/>
    <w:lvl w:ilvl="0">
      <w:start w:val="1"/>
      <w:numFmt w:val="bullet"/>
      <w:lvlText w:val="●"/>
      <w:lvlJc w:val="left"/>
      <w:pPr>
        <w:ind w:left="1133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3055DA"/>
    <w:multiLevelType w:val="multilevel"/>
    <w:tmpl w:val="AAE236CE"/>
    <w:lvl w:ilvl="0">
      <w:start w:val="1"/>
      <w:numFmt w:val="upperRoman"/>
      <w:lvlText w:val="%1."/>
      <w:lvlJc w:val="righ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2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1.%3"/>
      <w:lvlJc w:val="left"/>
      <w:pPr>
        <w:ind w:left="360" w:hanging="360"/>
      </w:pPr>
    </w:lvl>
    <w:lvl w:ilvl="3">
      <w:start w:val="1"/>
      <w:numFmt w:val="decimal"/>
      <w:lvlText w:val="3.%4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21CA7A40"/>
    <w:multiLevelType w:val="multilevel"/>
    <w:tmpl w:val="5A1C6F90"/>
    <w:lvl w:ilvl="0">
      <w:start w:val="1"/>
      <w:numFmt w:val="lowerLetter"/>
      <w:lvlText w:val="%1)"/>
      <w:lvlJc w:val="left"/>
      <w:pPr>
        <w:ind w:left="178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50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22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94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66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38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10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82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548" w:hanging="360"/>
      </w:pPr>
      <w:rPr>
        <w:u w:val="none"/>
      </w:rPr>
    </w:lvl>
  </w:abstractNum>
  <w:abstractNum w:abstractNumId="10" w15:restartNumberingAfterBreak="0">
    <w:nsid w:val="2D5A1F33"/>
    <w:multiLevelType w:val="multilevel"/>
    <w:tmpl w:val="5C84A28A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992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360" w:hanging="36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11" w15:restartNumberingAfterBreak="0">
    <w:nsid w:val="39F77795"/>
    <w:multiLevelType w:val="multilevel"/>
    <w:tmpl w:val="E5B4B494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12" w15:restartNumberingAfterBreak="0">
    <w:nsid w:val="3A9E6D07"/>
    <w:multiLevelType w:val="multilevel"/>
    <w:tmpl w:val="DC5689F4"/>
    <w:lvl w:ilvl="0">
      <w:start w:val="1"/>
      <w:numFmt w:val="lowerLetter"/>
      <w:lvlText w:val="%1)"/>
      <w:lvlJc w:val="left"/>
      <w:pPr>
        <w:ind w:left="178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50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22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94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66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38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10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82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548" w:hanging="360"/>
      </w:pPr>
      <w:rPr>
        <w:u w:val="none"/>
      </w:rPr>
    </w:lvl>
  </w:abstractNum>
  <w:abstractNum w:abstractNumId="13" w15:restartNumberingAfterBreak="0">
    <w:nsid w:val="40280245"/>
    <w:multiLevelType w:val="multilevel"/>
    <w:tmpl w:val="93B4DE0C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14" w15:restartNumberingAfterBreak="0">
    <w:nsid w:val="42C0744C"/>
    <w:multiLevelType w:val="multilevel"/>
    <w:tmpl w:val="A5E8246E"/>
    <w:lvl w:ilvl="0">
      <w:start w:val="1"/>
      <w:numFmt w:val="upperRoman"/>
      <w:lvlText w:val="%1."/>
      <w:lvlJc w:val="right"/>
      <w:pPr>
        <w:ind w:left="425" w:hanging="425"/>
      </w:pPr>
      <w:rPr>
        <w:rFonts w:ascii="Arial" w:eastAsia="Arial" w:hAnsi="Arial" w:cs="Arial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Arial" w:eastAsia="Arial" w:hAnsi="Arial" w:cs="Arial"/>
        <w:b w:val="0"/>
      </w:rPr>
    </w:lvl>
    <w:lvl w:ilvl="2">
      <w:start w:val="1"/>
      <w:numFmt w:val="decimal"/>
      <w:lvlText w:val="1.%3"/>
      <w:lvlJc w:val="left"/>
      <w:pPr>
        <w:ind w:left="720" w:hanging="360"/>
      </w:pPr>
    </w:lvl>
    <w:lvl w:ilvl="3">
      <w:start w:val="1"/>
      <w:numFmt w:val="decimal"/>
      <w:lvlText w:val="3.%4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4AFA20CB"/>
    <w:multiLevelType w:val="multilevel"/>
    <w:tmpl w:val="6B5631B2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16" w15:restartNumberingAfterBreak="0">
    <w:nsid w:val="4BBE0FA1"/>
    <w:multiLevelType w:val="multilevel"/>
    <w:tmpl w:val="AD8EC3DA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17" w15:restartNumberingAfterBreak="0">
    <w:nsid w:val="4DC37F4F"/>
    <w:multiLevelType w:val="multilevel"/>
    <w:tmpl w:val="7FFEDC1A"/>
    <w:lvl w:ilvl="0">
      <w:start w:val="1"/>
      <w:numFmt w:val="upperRoman"/>
      <w:lvlText w:val="%1."/>
      <w:lvlJc w:val="righ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Arial" w:eastAsia="Arial" w:hAnsi="Arial" w:cs="Arial"/>
        <w:b w:val="0"/>
        <w:color w:val="000000"/>
      </w:rPr>
    </w:lvl>
    <w:lvl w:ilvl="2">
      <w:start w:val="1"/>
      <w:numFmt w:val="decimal"/>
      <w:lvlText w:val="1.%3"/>
      <w:lvlJc w:val="left"/>
      <w:pPr>
        <w:ind w:left="360" w:hanging="360"/>
      </w:pPr>
    </w:lvl>
    <w:lvl w:ilvl="3">
      <w:start w:val="1"/>
      <w:numFmt w:val="decimal"/>
      <w:lvlText w:val="3.%4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4F3B62AB"/>
    <w:multiLevelType w:val="multilevel"/>
    <w:tmpl w:val="22AC9160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19" w15:restartNumberingAfterBreak="0">
    <w:nsid w:val="582F556D"/>
    <w:multiLevelType w:val="multilevel"/>
    <w:tmpl w:val="0AACE172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20" w15:restartNumberingAfterBreak="0">
    <w:nsid w:val="62EC34A1"/>
    <w:multiLevelType w:val="multilevel"/>
    <w:tmpl w:val="96BAD63C"/>
    <w:lvl w:ilvl="0">
      <w:start w:val="1"/>
      <w:numFmt w:val="upperRoman"/>
      <w:lvlText w:val="%1."/>
      <w:lvlJc w:val="righ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2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1.%3"/>
      <w:lvlJc w:val="left"/>
      <w:pPr>
        <w:ind w:left="360" w:hanging="360"/>
      </w:pPr>
    </w:lvl>
    <w:lvl w:ilvl="3">
      <w:start w:val="1"/>
      <w:numFmt w:val="decimal"/>
      <w:lvlText w:val="3.%4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 w15:restartNumberingAfterBreak="0">
    <w:nsid w:val="66BA47D1"/>
    <w:multiLevelType w:val="multilevel"/>
    <w:tmpl w:val="9C3C3D10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A3899"/>
    <w:multiLevelType w:val="multilevel"/>
    <w:tmpl w:val="E346AA50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23" w15:restartNumberingAfterBreak="0">
    <w:nsid w:val="6ED52B72"/>
    <w:multiLevelType w:val="multilevel"/>
    <w:tmpl w:val="D572F40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2E78E2"/>
    <w:multiLevelType w:val="multilevel"/>
    <w:tmpl w:val="8B20BB8C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25" w15:restartNumberingAfterBreak="0">
    <w:nsid w:val="74B47859"/>
    <w:multiLevelType w:val="multilevel"/>
    <w:tmpl w:val="765AF78C"/>
    <w:lvl w:ilvl="0">
      <w:start w:val="1"/>
      <w:numFmt w:val="lowerLetter"/>
      <w:lvlText w:val="%1)"/>
      <w:lvlJc w:val="left"/>
      <w:pPr>
        <w:ind w:left="178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50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22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94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66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38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10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82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548" w:hanging="360"/>
      </w:pPr>
      <w:rPr>
        <w:u w:val="none"/>
      </w:rPr>
    </w:lvl>
  </w:abstractNum>
  <w:abstractNum w:abstractNumId="26" w15:restartNumberingAfterBreak="0">
    <w:nsid w:val="77605D90"/>
    <w:multiLevelType w:val="multilevel"/>
    <w:tmpl w:val="5D807E9E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1417" w:hanging="15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abstractNum w:abstractNumId="27" w15:restartNumberingAfterBreak="0">
    <w:nsid w:val="77DA2D15"/>
    <w:multiLevelType w:val="multilevel"/>
    <w:tmpl w:val="90F2FAF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8" w15:restartNumberingAfterBreak="0">
    <w:nsid w:val="7DAE492F"/>
    <w:multiLevelType w:val="multilevel"/>
    <w:tmpl w:val="B74EBE3C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right"/>
      <w:pPr>
        <w:ind w:left="992" w:hanging="15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360" w:hanging="360"/>
      </w:pPr>
    </w:lvl>
    <w:lvl w:ilvl="3">
      <w:start w:val="1"/>
      <w:numFmt w:val="decimal"/>
      <w:lvlText w:val="%1.%2.%3.%4."/>
      <w:lvlJc w:val="right"/>
      <w:pPr>
        <w:ind w:left="360" w:hanging="360"/>
      </w:pPr>
    </w:lvl>
    <w:lvl w:ilvl="4">
      <w:start w:val="1"/>
      <w:numFmt w:val="decimal"/>
      <w:lvlText w:val="%1.%2.%3.%4.%5."/>
      <w:lvlJc w:val="right"/>
      <w:pPr>
        <w:ind w:left="1080" w:hanging="1080"/>
      </w:pPr>
    </w:lvl>
    <w:lvl w:ilvl="5">
      <w:start w:val="1"/>
      <w:numFmt w:val="decimal"/>
      <w:lvlText w:val="%1.%2.%3.%4.%5.%6."/>
      <w:lvlJc w:val="right"/>
      <w:pPr>
        <w:ind w:left="1440" w:hanging="1440"/>
      </w:pPr>
    </w:lvl>
    <w:lvl w:ilvl="6">
      <w:start w:val="1"/>
      <w:numFmt w:val="decimal"/>
      <w:lvlText w:val="%1.%2.%3.%4.%5.%6.%7."/>
      <w:lvlJc w:val="right"/>
      <w:pPr>
        <w:ind w:left="1800" w:hanging="1800"/>
      </w:pPr>
    </w:lvl>
    <w:lvl w:ilvl="7">
      <w:start w:val="1"/>
      <w:numFmt w:val="decimal"/>
      <w:lvlText w:val="%1.%2.%3.%4.%5.%6.%7.%8."/>
      <w:lvlJc w:val="right"/>
      <w:pPr>
        <w:ind w:left="1800" w:hanging="1800"/>
      </w:pPr>
    </w:lvl>
    <w:lvl w:ilvl="8">
      <w:start w:val="1"/>
      <w:numFmt w:val="decimal"/>
      <w:lvlText w:val="%1.%2.%3.%4.%5.%6.%7.%8.%9."/>
      <w:lvlJc w:val="right"/>
      <w:pPr>
        <w:ind w:left="2160" w:hanging="2160"/>
      </w:pPr>
    </w:lvl>
  </w:abstractNum>
  <w:num w:numId="1">
    <w:abstractNumId w:val="25"/>
  </w:num>
  <w:num w:numId="2">
    <w:abstractNumId w:val="12"/>
  </w:num>
  <w:num w:numId="3">
    <w:abstractNumId w:val="23"/>
  </w:num>
  <w:num w:numId="4">
    <w:abstractNumId w:val="21"/>
  </w:num>
  <w:num w:numId="5">
    <w:abstractNumId w:val="3"/>
  </w:num>
  <w:num w:numId="6">
    <w:abstractNumId w:val="22"/>
  </w:num>
  <w:num w:numId="7">
    <w:abstractNumId w:val="7"/>
  </w:num>
  <w:num w:numId="8">
    <w:abstractNumId w:val="18"/>
  </w:num>
  <w:num w:numId="9">
    <w:abstractNumId w:val="13"/>
  </w:num>
  <w:num w:numId="10">
    <w:abstractNumId w:val="4"/>
  </w:num>
  <w:num w:numId="11">
    <w:abstractNumId w:val="24"/>
  </w:num>
  <w:num w:numId="12">
    <w:abstractNumId w:val="17"/>
  </w:num>
  <w:num w:numId="13">
    <w:abstractNumId w:val="11"/>
  </w:num>
  <w:num w:numId="14">
    <w:abstractNumId w:val="6"/>
  </w:num>
  <w:num w:numId="15">
    <w:abstractNumId w:val="19"/>
  </w:num>
  <w:num w:numId="16">
    <w:abstractNumId w:val="16"/>
  </w:num>
  <w:num w:numId="17">
    <w:abstractNumId w:val="5"/>
  </w:num>
  <w:num w:numId="18">
    <w:abstractNumId w:val="26"/>
  </w:num>
  <w:num w:numId="19">
    <w:abstractNumId w:val="1"/>
  </w:num>
  <w:num w:numId="20">
    <w:abstractNumId w:val="10"/>
  </w:num>
  <w:num w:numId="21">
    <w:abstractNumId w:val="2"/>
  </w:num>
  <w:num w:numId="22">
    <w:abstractNumId w:val="20"/>
  </w:num>
  <w:num w:numId="23">
    <w:abstractNumId w:val="8"/>
  </w:num>
  <w:num w:numId="24">
    <w:abstractNumId w:val="28"/>
  </w:num>
  <w:num w:numId="25">
    <w:abstractNumId w:val="14"/>
  </w:num>
  <w:num w:numId="26">
    <w:abstractNumId w:val="0"/>
  </w:num>
  <w:num w:numId="27">
    <w:abstractNumId w:val="15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802"/>
    <w:rsid w:val="00072F61"/>
    <w:rsid w:val="00283407"/>
    <w:rsid w:val="0079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4164"/>
  <w15:docId w15:val="{9E205D91-C20F-4907-9E6C-BB7CC4C6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ind w:left="425"/>
      <w:outlineLvl w:val="0"/>
    </w:pPr>
    <w:rPr>
      <w:rFonts w:ascii="Verdana" w:eastAsia="Verdana" w:hAnsi="Verdana" w:cs="Verdana"/>
      <w:b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ind w:left="450" w:hanging="45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ind w:left="709" w:hanging="709"/>
      <w:jc w:val="center"/>
    </w:pPr>
    <w:rPr>
      <w:b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F6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.pl.vpol@veolia.com" TargetMode="External"/><Relationship Id="rId13" Type="http://schemas.openxmlformats.org/officeDocument/2006/relationships/hyperlink" Target="mailto:inspektor.pl.vpol@veolia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aroslaw.kusmierczyk@veolia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wel.scibior@veolia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pawel.scibior@veolia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wel.scibior@veolia.co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10259</Words>
  <Characters>61557</Characters>
  <Application>Microsoft Office Word</Application>
  <DocSecurity>0</DocSecurity>
  <Lines>512</Lines>
  <Paragraphs>143</Paragraphs>
  <ScaleCrop>false</ScaleCrop>
  <Company/>
  <LinksUpToDate>false</LinksUpToDate>
  <CharactersWithSpaces>71673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Ścibior Pawel - ADICT</cp:lastModifiedBy>
  <cp:revision>3</cp:revision>
  <dcterms:created xsi:type="dcterms:W3CDTF">2025-06-17T14:33:00Z</dcterms:created>
  <dcterms:modified xsi:type="dcterms:W3CDTF">2025-06-17T14:35:00Z</dcterms:modified>
</cp:coreProperties>
</file>