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58ACB351" w:rsidR="004F23D9" w:rsidRDefault="00B245EE" w:rsidP="00C95E73">
      <w:pPr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Załącznik nr </w:t>
      </w:r>
      <w:r w:rsidR="00C95E73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do Umowy</w:t>
      </w:r>
    </w:p>
    <w:p w14:paraId="00000002" w14:textId="77777777" w:rsidR="004F23D9" w:rsidRDefault="004F23D9">
      <w:pPr>
        <w:pBdr>
          <w:top w:val="nil"/>
          <w:left w:val="nil"/>
          <w:bottom w:val="nil"/>
          <w:right w:val="nil"/>
          <w:between w:val="nil"/>
        </w:pBdr>
        <w:spacing w:before="80" w:after="120"/>
        <w:ind w:left="720" w:right="-3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0000003" w14:textId="77777777" w:rsidR="004F23D9" w:rsidRDefault="00B245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UBEZPIECZENIA ZAWIERANE PRZEZ ZAMAWIAJĄCEGO</w:t>
      </w:r>
    </w:p>
    <w:p w14:paraId="00000004" w14:textId="77777777" w:rsidR="004F23D9" w:rsidRDefault="00B245E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left="993" w:right="-3" w:hanging="426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Zamawiający na własny koszt</w:t>
      </w:r>
      <w:r>
        <w:rPr>
          <w:rFonts w:ascii="Arial" w:eastAsia="Arial" w:hAnsi="Arial" w:cs="Arial"/>
          <w:color w:val="000000"/>
          <w:sz w:val="22"/>
          <w:szCs w:val="22"/>
        </w:rPr>
        <w:t>, w okresie realizacji Umowy ubezpieczy i zapewni ciągłość ubezpieczeń wymienionych poniżej (lub zapewni taki stan), na określone kwoty, przy podanych warunkach ubezpieczenia:</w:t>
      </w:r>
    </w:p>
    <w:p w14:paraId="00000005" w14:textId="77777777" w:rsidR="004F23D9" w:rsidRDefault="00B245EE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Ubezpieczenia wszelkich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ryzyk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budowy i montażu (CEAR);</w:t>
      </w:r>
    </w:p>
    <w:p w14:paraId="00000006" w14:textId="77777777" w:rsidR="004F23D9" w:rsidRDefault="00B245E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left="567" w:right="-3" w:hanging="1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Ubezpieczenia wszelkich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r</w:t>
      </w:r>
      <w:r>
        <w:rPr>
          <w:rFonts w:ascii="Arial" w:eastAsia="Arial" w:hAnsi="Arial" w:cs="Arial"/>
          <w:b/>
          <w:color w:val="000000"/>
          <w:sz w:val="22"/>
          <w:szCs w:val="22"/>
        </w:rPr>
        <w:t>yzyk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budowy i montażu CEAR</w:t>
      </w:r>
    </w:p>
    <w:p w14:paraId="00000007" w14:textId="77777777" w:rsidR="004F23D9" w:rsidRDefault="00B245EE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80"/>
        <w:ind w:right="-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Zamawiający zobowiązany jest zawrzeć i utrzymać w mocy ubezpieczenie wszelkich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ryzyk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budowy i montażu (CEAR) spełniające łącznie następujące warunki:</w:t>
      </w:r>
    </w:p>
    <w:p w14:paraId="00000008" w14:textId="77777777" w:rsidR="004F23D9" w:rsidRDefault="00B245EE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ind w:left="1843" w:right="-3" w:hanging="56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Suma ubezpieczenia w posiadanej przez Z</w:t>
      </w:r>
      <w:bookmarkStart w:id="0" w:name="_GoBack"/>
      <w:bookmarkEnd w:id="0"/>
      <w:r>
        <w:rPr>
          <w:rFonts w:ascii="Arial" w:eastAsia="Arial" w:hAnsi="Arial" w:cs="Arial"/>
          <w:color w:val="000000"/>
          <w:sz w:val="22"/>
          <w:szCs w:val="22"/>
        </w:rPr>
        <w:t>amawiającego polisie (umowie) ubezpieczenia odpowiadać będzie pełnej wartości Wynagrodzenia Umownego netto za wykonanie Przedmiotu Umowy.</w:t>
      </w:r>
    </w:p>
    <w:p w14:paraId="00000009" w14:textId="77777777" w:rsidR="004F23D9" w:rsidRDefault="00B245EE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ind w:left="1843" w:right="-3" w:hanging="56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Ubezpieczonymi będą: Zamawiający, Wykonawca i jego Podwykonawcy oraz wszystkie </w:t>
      </w:r>
      <w:r>
        <w:rPr>
          <w:rFonts w:ascii="Arial" w:eastAsia="Arial" w:hAnsi="Arial" w:cs="Arial"/>
          <w:color w:val="000000"/>
          <w:sz w:val="22"/>
          <w:szCs w:val="22"/>
        </w:rPr>
        <w:t>inne podmioty zaangażowane formalnie przy realizacji Przedmiotu Umowy, o ile wartość prac wykonywanych przez nich została ujęta w wartości ubezpieczonej inwestycji.</w:t>
      </w:r>
    </w:p>
    <w:p w14:paraId="0000000A" w14:textId="77777777" w:rsidR="004F23D9" w:rsidRDefault="00B245EE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ind w:left="1843" w:right="-3" w:hanging="56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Zakres ubezpieczenia będzie zgodny z aktualnym standardem rynkowym, uwzględniający charakte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r i rozmiar ryzyka związanego z realizacją Umowy, ze zwyczajowo stosowanymi klauzulami rozszerzającymi zakres, z zastrzeżeniem zwyczajowych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wyłączeń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i limitów odpowiedzialności właściwych dla tego typu umów ubezpieczenia.</w:t>
      </w:r>
    </w:p>
    <w:p w14:paraId="0000000B" w14:textId="77777777" w:rsidR="004F23D9" w:rsidRDefault="00B245EE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ind w:left="1843" w:right="-3" w:hanging="56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Okres obowiązywania ubezpieczenia </w:t>
      </w:r>
      <w:r>
        <w:rPr>
          <w:rFonts w:ascii="Arial" w:eastAsia="Arial" w:hAnsi="Arial" w:cs="Arial"/>
          <w:color w:val="000000"/>
          <w:sz w:val="22"/>
          <w:szCs w:val="22"/>
        </w:rPr>
        <w:t>będzie rozpoczynał się nie później niż przekazanie Wykonawcy Terenu Budowy i ubezpieczenie będzie utrzymane w mocy do momentu wydania Świadectwa Przekazania do Eksploatacji, z zastrzeżeniem klauzul gwarancyjnych i konserwacyjnych.</w:t>
      </w:r>
    </w:p>
    <w:p w14:paraId="0000000C" w14:textId="77777777" w:rsidR="004F23D9" w:rsidRDefault="00B245EE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ind w:left="1843" w:right="-3" w:hanging="56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Franszyzy zgodne będą ze </w:t>
      </w:r>
      <w:r>
        <w:rPr>
          <w:rFonts w:ascii="Arial" w:eastAsia="Arial" w:hAnsi="Arial" w:cs="Arial"/>
          <w:color w:val="000000"/>
          <w:sz w:val="22"/>
          <w:szCs w:val="22"/>
        </w:rPr>
        <w:t>standardem rynkowym i rozsądną handlowo ofertą.</w:t>
      </w:r>
    </w:p>
    <w:p w14:paraId="0000000D" w14:textId="77777777" w:rsidR="004F23D9" w:rsidRDefault="00B245EE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ind w:left="1843" w:right="-3" w:hanging="56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i jego Podwykonawcy zostaną wskazani jako współubezpieczeni. </w:t>
      </w:r>
    </w:p>
    <w:p w14:paraId="0000000E" w14:textId="77777777" w:rsidR="004F23D9" w:rsidRDefault="004F23D9">
      <w:pPr>
        <w:pBdr>
          <w:top w:val="nil"/>
          <w:left w:val="nil"/>
          <w:bottom w:val="nil"/>
          <w:right w:val="nil"/>
          <w:between w:val="nil"/>
        </w:pBdr>
        <w:spacing w:after="120"/>
        <w:ind w:left="1843" w:right="-3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000000F" w14:textId="77777777" w:rsidR="004F23D9" w:rsidRDefault="00B245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UBEZPIECZENIA ZAWIERANE PRZEZ WYKONAWCĘ</w:t>
      </w:r>
    </w:p>
    <w:p w14:paraId="00000010" w14:textId="77777777" w:rsidR="004F23D9" w:rsidRDefault="00B245E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 w:hanging="2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na własny koszt, na okres realizacji Umowy zawrze i zapewni ciągłość ubezpieczenia w zakresie następujących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ryzyk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:</w:t>
      </w:r>
    </w:p>
    <w:p w14:paraId="00000011" w14:textId="77777777" w:rsidR="004F23D9" w:rsidRDefault="00B245E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left="1134" w:right="-3" w:hanging="41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Ubezpieczenie odpowiedzialności cywilnej (OC) Wykonawcy oraz wszystkich Podwykonawców i dalszych podwykonawców z tytułu prowadzenia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działalności gospodarczej oraz posiadania mienia, pokrywające szkody osobowe, rzeczowe oraz czyste straty finansowe powstałe w związku realizacją Umowy, obejmujące również odpowiedzialność wzajemną pomiędzy ubezpieczonymi, na warunkach określonych szczegó</w:t>
      </w:r>
      <w:r>
        <w:rPr>
          <w:rFonts w:ascii="Arial" w:eastAsia="Arial" w:hAnsi="Arial" w:cs="Arial"/>
          <w:color w:val="000000"/>
          <w:sz w:val="22"/>
          <w:szCs w:val="22"/>
        </w:rPr>
        <w:t>łowo poniżej;</w:t>
      </w:r>
    </w:p>
    <w:p w14:paraId="00000012" w14:textId="77777777" w:rsidR="004F23D9" w:rsidRDefault="00B245E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left="1134" w:right="-3" w:hanging="41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Ubezpieczenie odpowiedzialności cywilnej zawodowej (OC projektanta), na warunkach określonych szczegółowo poniżej;</w:t>
      </w:r>
    </w:p>
    <w:p w14:paraId="00000013" w14:textId="77777777" w:rsidR="004F23D9" w:rsidRDefault="00B245E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left="1134" w:right="-3" w:hanging="41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Ubezpieczenie sprzętu Wykonawcy i Podwykonawców (CPE/CPM);</w:t>
      </w:r>
    </w:p>
    <w:p w14:paraId="00000014" w14:textId="77777777" w:rsidR="004F23D9" w:rsidRDefault="00B245E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left="1134" w:right="-3" w:hanging="41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Ubezpieczenie Następstw Nieszczęśliwych Wypadków.</w:t>
      </w:r>
    </w:p>
    <w:p w14:paraId="00000015" w14:textId="77777777" w:rsidR="004F23D9" w:rsidRDefault="00B245EE">
      <w:pPr>
        <w:pBdr>
          <w:top w:val="nil"/>
          <w:left w:val="nil"/>
          <w:bottom w:val="nil"/>
          <w:right w:val="nil"/>
          <w:between w:val="nil"/>
        </w:pBdr>
        <w:spacing w:before="80" w:after="120"/>
        <w:ind w:left="851" w:right="-3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Na potrzeby niniejszego załącznika przez „dalszych podwykonawców” rozumie się podmioty (inne niż podwykonawcy), którym na podstawie zawartych umów </w:t>
      </w:r>
      <w:r>
        <w:rPr>
          <w:rFonts w:ascii="Arial" w:eastAsia="Arial" w:hAnsi="Arial" w:cs="Arial"/>
          <w:color w:val="000000"/>
          <w:sz w:val="22"/>
          <w:szCs w:val="22"/>
        </w:rPr>
        <w:lastRenderedPageBreak/>
        <w:t>powierzono wykonanie części przedmiotu Umowy (np. podwykonawca Podwykonawcy).</w:t>
      </w:r>
    </w:p>
    <w:p w14:paraId="00000016" w14:textId="77777777" w:rsidR="004F23D9" w:rsidRDefault="004F23D9">
      <w:pPr>
        <w:pBdr>
          <w:top w:val="nil"/>
          <w:left w:val="nil"/>
          <w:bottom w:val="nil"/>
          <w:right w:val="nil"/>
          <w:between w:val="nil"/>
        </w:pBdr>
        <w:spacing w:after="120"/>
        <w:ind w:left="709" w:right="-3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0000017" w14:textId="77777777" w:rsidR="004F23D9" w:rsidRDefault="00B245E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 w:hanging="2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Ubezpieczenie OC </w:t>
      </w:r>
    </w:p>
    <w:p w14:paraId="00000018" w14:textId="77777777" w:rsidR="004F23D9" w:rsidRDefault="00B245EE">
      <w:pPr>
        <w:pBdr>
          <w:top w:val="nil"/>
          <w:left w:val="nil"/>
          <w:bottom w:val="nil"/>
          <w:right w:val="nil"/>
          <w:between w:val="nil"/>
        </w:pBdr>
        <w:spacing w:after="120"/>
        <w:ind w:left="71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Wykonawca zapewni ochronę ubezpieczeniową w ramach umowy ubezpieczenia odpowiedzialności cywilnej (OC), co najmniej przez okres związania niniejszą Umową (tj. od dnia podpisania Umowy do dnia wypełnienia zobowiązań gwarancyjnych i rękojmi), w której rodzaj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działalności objętej ochroną będzie zgodny z zakresem prac wykonywanych w ramach niniejszej Umowy. Zakres ochrony będzie obejmował odpowiedzialność cywilną ubezpieczonych z tytułu czynów niedozwolonych (odpowiedzialność deliktową) oraz odpowiedzialność cy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wilną za szkody wynikające z niewykonania lub nienależytego wykonania zobowiązania (odpowiedzialność kontraktową), jak również odpowiedzialność cywilną za szkody wyrządzone przez wyprodukowany/ dostarczony produkt i wykonaną usługę. Ochroną objęte zostaną </w:t>
      </w:r>
      <w:r>
        <w:rPr>
          <w:rFonts w:ascii="Arial" w:eastAsia="Arial" w:hAnsi="Arial" w:cs="Arial"/>
          <w:color w:val="000000"/>
          <w:sz w:val="22"/>
          <w:szCs w:val="22"/>
        </w:rPr>
        <w:t>szkody rzeczowe i osobowe wyrządzone osobom trzecim oraz ich następstwa. Zakres ochrony ubezpieczeniowej powinien uwzględniać specyfikę przedmiotu Umowy.</w:t>
      </w:r>
    </w:p>
    <w:p w14:paraId="00000019" w14:textId="77777777" w:rsidR="004F23D9" w:rsidRDefault="00B245EE">
      <w:pPr>
        <w:pBdr>
          <w:top w:val="nil"/>
          <w:left w:val="nil"/>
          <w:bottom w:val="nil"/>
          <w:right w:val="nil"/>
          <w:between w:val="nil"/>
        </w:pBdr>
        <w:spacing w:after="120"/>
        <w:ind w:left="709" w:right="-3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Ubezpieczenie to będzie spełniało łącznie co najmniej następujące warunki:</w:t>
      </w:r>
    </w:p>
    <w:p w14:paraId="0000001A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Suma gwarancyjna powinna wy</w:t>
      </w:r>
      <w:r>
        <w:rPr>
          <w:rFonts w:ascii="Arial" w:eastAsia="Arial" w:hAnsi="Arial" w:cs="Arial"/>
          <w:color w:val="000000"/>
          <w:sz w:val="22"/>
          <w:szCs w:val="22"/>
        </w:rPr>
        <w:t>nosić nie mniej niż 15.000.000 PLN.</w:t>
      </w:r>
    </w:p>
    <w:p w14:paraId="0000001B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Czasowy zakres ochrony ubezpieczeniowej (tzw.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trigger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) - powstanie wypadku ubezpieczeniowego w okresie ubezpieczenia, przy czym przez wypadek rozumie się śmierć, uszkodzenie ciała, doznanie rozstroju zdrowia, zniszczenie</w:t>
      </w:r>
      <w:r>
        <w:rPr>
          <w:rFonts w:ascii="Arial" w:eastAsia="Arial" w:hAnsi="Arial" w:cs="Arial"/>
          <w:color w:val="000000"/>
          <w:sz w:val="22"/>
          <w:szCs w:val="22"/>
        </w:rPr>
        <w:t>, uszkodzenie rzeczy lub powstanie czystej straty finansowej (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loss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occurrence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). </w:t>
      </w:r>
    </w:p>
    <w:p w14:paraId="0000001C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Ubezpieczone będą szkody wyrządzone w wyniku rażącego niedbalstwa.</w:t>
      </w:r>
    </w:p>
    <w:p w14:paraId="0000001D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Ubezpieczone będą szkody powstałe w mieniu przekazanym Wykonawcy w celu wykonania pracy lub usługi na tym mieniu lub za jego pomocą, a także przekazane Wykonawcy w celu przechowywania/ dozoru, które to przechowanie/ dozór ma charakter pomocniczy i jest nie</w:t>
      </w:r>
      <w:r>
        <w:rPr>
          <w:rFonts w:ascii="Arial" w:eastAsia="Arial" w:hAnsi="Arial" w:cs="Arial"/>
          <w:color w:val="000000"/>
          <w:sz w:val="22"/>
          <w:szCs w:val="22"/>
        </w:rPr>
        <w:t>zbędne do wykonania na tym mieniu lub za jego pomocą pracy lub usługi przez Wykonawcę.</w:t>
      </w:r>
    </w:p>
    <w:p w14:paraId="0000001E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Umowa ubezpieczenia obejmuje również szkody:</w:t>
      </w:r>
    </w:p>
    <w:p w14:paraId="0000001F" w14:textId="77777777" w:rsidR="004F23D9" w:rsidRDefault="00B245EE">
      <w:pPr>
        <w:pBdr>
          <w:top w:val="nil"/>
          <w:left w:val="nil"/>
          <w:bottom w:val="nil"/>
          <w:right w:val="nil"/>
          <w:between w:val="nil"/>
        </w:pBdr>
        <w:spacing w:before="80" w:after="120"/>
        <w:ind w:left="1276" w:right="-3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2.7.1. wynikające z uszkodzenia lub zniszczenia urządzeń i instalacji wodociągowych, kanalizacyjnych, centralnego ogrzewania</w:t>
      </w:r>
      <w:r>
        <w:rPr>
          <w:rFonts w:ascii="Arial" w:eastAsia="Arial" w:hAnsi="Arial" w:cs="Arial"/>
          <w:color w:val="000000"/>
          <w:sz w:val="22"/>
          <w:szCs w:val="22"/>
        </w:rPr>
        <w:t>, gazowych, elektrycznych, technologicznych, w tym w instalacjach podziemnych.</w:t>
      </w:r>
    </w:p>
    <w:p w14:paraId="00000020" w14:textId="77777777" w:rsidR="004F23D9" w:rsidRDefault="00B245EE">
      <w:pPr>
        <w:pBdr>
          <w:top w:val="nil"/>
          <w:left w:val="nil"/>
          <w:bottom w:val="nil"/>
          <w:right w:val="nil"/>
          <w:between w:val="nil"/>
        </w:pBdr>
        <w:spacing w:before="80" w:after="120"/>
        <w:ind w:left="1276" w:right="-3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2.7.2. wynikające z nagłego i niespodziewanego zanieczyszczenia środowiska (szkody wynikłe z emisji do powietrza, wody, gruntu jakichkolwiek substancji niebezpiecznych). Dopuszc</w:t>
      </w:r>
      <w:r>
        <w:rPr>
          <w:rFonts w:ascii="Arial" w:eastAsia="Arial" w:hAnsi="Arial" w:cs="Arial"/>
          <w:color w:val="000000"/>
          <w:sz w:val="22"/>
          <w:szCs w:val="22"/>
        </w:rPr>
        <w:t>zalny limit nie mniejszy niż 10.000.000 PLN.</w:t>
      </w:r>
    </w:p>
    <w:p w14:paraId="00000021" w14:textId="77777777" w:rsidR="004F23D9" w:rsidRDefault="00B245EE">
      <w:pPr>
        <w:pBdr>
          <w:top w:val="nil"/>
          <w:left w:val="nil"/>
          <w:bottom w:val="nil"/>
          <w:right w:val="nil"/>
          <w:between w:val="nil"/>
        </w:pBdr>
        <w:spacing w:before="80" w:after="120"/>
        <w:ind w:left="1276" w:right="-3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2.7.3. wyrządzone podczas prac ładunkowych, o ile w ramach Umowy będą wykonywane takie prace. </w:t>
      </w:r>
    </w:p>
    <w:p w14:paraId="00000022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Ubezpieczone będą szkody polegające na powstaniu czystej straty finansowej, tj. szkody nie będące następstwem szkód osobowych, ani szkód rzeczowych. Dopuszczalny jest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podlimit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w wysokości nie niższej niż 2.500.000 PLN.</w:t>
      </w:r>
    </w:p>
    <w:p w14:paraId="00000023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Jeżeli do realizacji prac zostaną zat</w:t>
      </w:r>
      <w:r>
        <w:rPr>
          <w:rFonts w:ascii="Arial" w:eastAsia="Arial" w:hAnsi="Arial" w:cs="Arial"/>
          <w:color w:val="000000"/>
          <w:sz w:val="22"/>
          <w:szCs w:val="22"/>
        </w:rPr>
        <w:t>rudnieni podwykonawcy, ochroną objęte zostaną szkody za które ponosi odpowiedzialność Wykonawca, a które zostały wyrządzone przez podwykonawców; dopuszcza się zastosowanie regresu w stosunku do podwykonawcy będącego sprawcą szkody. Niezależnie od zakresu u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bezpieczenia określonego w zdaniu poprzednim, Wykonawca powinien zweryfikować polisy ubezpieczeniowe posiadane przez podwykonawców i zapewnić, aby ich zakres ubezpieczenia był dostosowany do skali i rodzaju prac </w:t>
      </w:r>
      <w:r>
        <w:rPr>
          <w:rFonts w:ascii="Arial" w:eastAsia="Arial" w:hAnsi="Arial" w:cs="Arial"/>
          <w:color w:val="000000"/>
          <w:sz w:val="22"/>
          <w:szCs w:val="22"/>
        </w:rPr>
        <w:lastRenderedPageBreak/>
        <w:t>realizowanych przez podwykonawcę w ramach ni</w:t>
      </w:r>
      <w:r>
        <w:rPr>
          <w:rFonts w:ascii="Arial" w:eastAsia="Arial" w:hAnsi="Arial" w:cs="Arial"/>
          <w:color w:val="000000"/>
          <w:sz w:val="22"/>
          <w:szCs w:val="22"/>
        </w:rPr>
        <w:t>niejszej Umowy i był nie węższy niż wymogi określone dla Wykonawcy, chyba że część prac powierzona podwykonawcy nie pociąga za sobą ryzyko powstania szkody określonej wyżej wskazanymi klauzulami  rozszerzającymi. Alternatywnie dopuszcza się ubezpieczenie p</w:t>
      </w:r>
      <w:r>
        <w:rPr>
          <w:rFonts w:ascii="Arial" w:eastAsia="Arial" w:hAnsi="Arial" w:cs="Arial"/>
          <w:color w:val="000000"/>
          <w:sz w:val="22"/>
          <w:szCs w:val="22"/>
        </w:rPr>
        <w:t>odwykonawców, jako podmioty dodatkowo ubezpieczone w ramach polisy Wykonawcy.</w:t>
      </w:r>
    </w:p>
    <w:p w14:paraId="00000024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Franszyza redukcyjna nie może być większa niż 50.000 PLN dla szkód w mieniu, z wyjątkiem czystych strat finansowych, dla których ustalono franszyzę redukcyjną w kwocie nie większ</w:t>
      </w:r>
      <w:r>
        <w:rPr>
          <w:rFonts w:ascii="Arial" w:eastAsia="Arial" w:hAnsi="Arial" w:cs="Arial"/>
          <w:color w:val="000000"/>
          <w:sz w:val="22"/>
          <w:szCs w:val="22"/>
        </w:rPr>
        <w:t>ej niż wynikającej z formuły: „10% odszkodowania, nie mniej niż 50.000 PLN”. W odniesieniu do szkód osobowych franszyza redukcyjna nie będzie miała zastosowania.</w:t>
      </w:r>
    </w:p>
    <w:p w14:paraId="00000025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Zakres terytorialny powinien obejmować terytorium Polski.</w:t>
      </w:r>
    </w:p>
    <w:p w14:paraId="00000026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Wyłączenia odpowiedzialności są dopuszczalne w zakresie zgodnym z aktualną dobrą praktyką rynkową na dzień zawierania umowy ubezpieczenia. </w:t>
      </w:r>
    </w:p>
    <w:p w14:paraId="00000027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Zarówno suma gwarancyjna jak i limity odpowiedzialności wyszczególnione w pkt 2 niniejszego załącznika, określone są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 formule na jedno i wszystkie zdarzenia w rocznym okresie ubezpieczenia lub w przypadku polisy celowej (tj. obejmującej ochroną wyłącznie prace projektowe związane z realizacją Umowy) w całym okresie ubezpieczenia. W przypadku nie wprowadzenia limitu odp</w:t>
      </w:r>
      <w:r>
        <w:rPr>
          <w:rFonts w:ascii="Arial" w:eastAsia="Arial" w:hAnsi="Arial" w:cs="Arial"/>
          <w:color w:val="000000"/>
          <w:sz w:val="22"/>
          <w:szCs w:val="22"/>
        </w:rPr>
        <w:t>owiedzialności dla któregoś z powyższych rozszerzeń zakresu ubezpieczenia – odpowiedzialność zakładu ubezpieczeń do pełnej sumy gwarancyjnej.</w:t>
      </w:r>
    </w:p>
    <w:p w14:paraId="00000028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odniesieniu do Wykonawców działających wspólnie (np. konsorcjum) wymóg dotyczący ubezpieczenia odpowiedzialności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cywilnej powinien zostać spełniony w następujący sposób: W przypadku zawarcia jednostkowego ubezpieczenia przeznaczonego wyłącznie do ochrony roszczeń związanych z realizacją Umowy (tzw. polisa celowa), zawartego na cały okres realizacji Umowy, którym obj</w:t>
      </w:r>
      <w:r>
        <w:rPr>
          <w:rFonts w:ascii="Arial" w:eastAsia="Arial" w:hAnsi="Arial" w:cs="Arial"/>
          <w:color w:val="000000"/>
          <w:sz w:val="22"/>
          <w:szCs w:val="22"/>
        </w:rPr>
        <w:t>ęci byliby wszyscy Wykonawcy działający wspólnie jako ubezpieczeni – wymóg dotyczący sumy gwarancyjnej stosuje się do jednostkowej umowy ubezpieczenia. W innym przypadku suma ubezpieczenia dotyczy każdego poszczególnego podmiotu z osobna, tzn. każdy z nich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powinien posiadać ochronę w zakresie ubezpieczenia odpowiedzialności cywilnej z sumą gwarancyjną w wysokości nie niższej niż 15.000.000 PLN na jeden i wszystkie wypadki, a jego zakres powinien spełniać, co najmniej warunki określone w pkt 2.</w:t>
      </w:r>
    </w:p>
    <w:p w14:paraId="00000029" w14:textId="77777777" w:rsidR="004F23D9" w:rsidRDefault="00B245E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left="709" w:right="-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Ubezpieczenie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Odpowiedzialności Cywilnej zawodowej (projektanta)</w:t>
      </w:r>
    </w:p>
    <w:p w14:paraId="0000002A" w14:textId="77777777" w:rsidR="004F23D9" w:rsidRDefault="00B245EE">
      <w:pPr>
        <w:pBdr>
          <w:top w:val="nil"/>
          <w:left w:val="nil"/>
          <w:bottom w:val="nil"/>
          <w:right w:val="nil"/>
          <w:between w:val="nil"/>
        </w:pBdr>
        <w:spacing w:before="80" w:after="120"/>
        <w:ind w:left="709" w:right="-3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Wykonawca zapewni ochronę ubezpieczeniową w ramach umowy ubezpieczenie odpowiedzialności cywilnej zawodowej według poniższych wymogów:</w:t>
      </w:r>
    </w:p>
    <w:p w14:paraId="0000002B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Zakres ubezpieczonej działalności powinien obejmować wszelkie prace projektowe oraz nadzory autorskie (o ile są wymagane w ramach Umowy) wykonywane w związku z czynnościami określonymi w Umowie. </w:t>
      </w:r>
    </w:p>
    <w:p w14:paraId="0000002C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Umowa ubezpieczenia będzie obejmować odpowiedzialność cywiln</w:t>
      </w:r>
      <w:r>
        <w:rPr>
          <w:rFonts w:ascii="Arial" w:eastAsia="Arial" w:hAnsi="Arial" w:cs="Arial"/>
          <w:color w:val="000000"/>
          <w:sz w:val="22"/>
          <w:szCs w:val="22"/>
        </w:rPr>
        <w:t>ą ubezpieczonych za szkody w mieniu, na osobie wraz z ich następstwami oraz czyste straty finansowe (tj. szkody nie będące następstwem szkód osobowych ani szkód rzeczowych) wyrządzone wskutek niedopełnienia obowiązków w trakcie realizacji prac projektowych</w:t>
      </w:r>
      <w:r>
        <w:rPr>
          <w:rFonts w:ascii="Arial" w:eastAsia="Arial" w:hAnsi="Arial" w:cs="Arial"/>
          <w:color w:val="000000"/>
          <w:sz w:val="22"/>
          <w:szCs w:val="22"/>
        </w:rPr>
        <w:t>, usług doradztwa technicznego, nadzorów autorskich (o ile są wymagane w ramach Umowy) w związku z wykonywaniem Umowy. Zakres ochrony ubezpieczeniowej powinien uwzględniać specyfikę przedmiotu Umowy</w:t>
      </w:r>
    </w:p>
    <w:p w14:paraId="0000002D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Zakresem ochrony powinny być objęte szkody wyrządzone na </w:t>
      </w:r>
      <w:r>
        <w:rPr>
          <w:rFonts w:ascii="Arial" w:eastAsia="Arial" w:hAnsi="Arial" w:cs="Arial"/>
          <w:color w:val="000000"/>
          <w:sz w:val="22"/>
          <w:szCs w:val="22"/>
        </w:rPr>
        <w:t>terytorium Polski.</w:t>
      </w:r>
    </w:p>
    <w:p w14:paraId="0000002E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Umowa ubezpieczenia będzie obejmować odpowiedzialność ubezpieczyciela za szkody wynikające ze zdarzenia (działania lub zaniechania ubezpieczonego) zaistniałego w okresie co najmniej od dnia rozpoczęcia prac projektowych lub czynności zwi</w:t>
      </w:r>
      <w:r>
        <w:rPr>
          <w:rFonts w:ascii="Arial" w:eastAsia="Arial" w:hAnsi="Arial" w:cs="Arial"/>
          <w:color w:val="000000"/>
          <w:sz w:val="22"/>
          <w:szCs w:val="22"/>
        </w:rPr>
        <w:t>ązanych z wykonywaniem Umowy, do dnia odbioru końcowego i przekazania do eksploatacji przedmiotu zamówienia chociażby sama szkoda powstała lub została ujawniona, czy też roszczenie zostało zgłoszone po tym okresie, jednakże w granicach terminów przedawnien</w:t>
      </w:r>
      <w:r>
        <w:rPr>
          <w:rFonts w:ascii="Arial" w:eastAsia="Arial" w:hAnsi="Arial" w:cs="Arial"/>
          <w:color w:val="000000"/>
          <w:sz w:val="22"/>
          <w:szCs w:val="22"/>
        </w:rPr>
        <w:t>ia określonych powszechnie obowiązującymi przepisami prawa.</w:t>
      </w:r>
    </w:p>
    <w:p w14:paraId="0000002F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Ochrona ubezpieczeniowa obejmie zakresem tzw. szkody konstrukcyjne, tj. szkody związane ze zniszczeniem, uszkodzeniem przedmiotu projektu.</w:t>
      </w:r>
    </w:p>
    <w:p w14:paraId="00000030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Ochrona ubezpieczeniowa pokryje ewentualne koszty przebud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owy, rekonstrukcji, nawet wtedy, gdy nie doszło do wyrządzenia szkody w mieniu polegającej na jego uszkodzeniu lub zniszczeniu, a przedmiot prac jest dotknięty wadą. </w:t>
      </w:r>
    </w:p>
    <w:p w14:paraId="00000031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Ochrona ubezpieczeniowa obejmuje tzw. szkody seryjne, tj. szkody spowodowane tym samym uc</w:t>
      </w:r>
      <w:r>
        <w:rPr>
          <w:rFonts w:ascii="Arial" w:eastAsia="Arial" w:hAnsi="Arial" w:cs="Arial"/>
          <w:color w:val="000000"/>
          <w:sz w:val="22"/>
          <w:szCs w:val="22"/>
        </w:rPr>
        <w:t>hybieniem (działaniem i/lub zaniechaniem), traktując wszystkie szkody spowodowane tym samym uchybieniem jako pojedyncze zdarzenie.</w:t>
      </w:r>
    </w:p>
    <w:p w14:paraId="00000032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Suma gwarancyjna przewidziana w umowie ubezpieczenia nie może być niższa niż 3.000.000 PLN na jedno i wszystkie zdarzenia w r</w:t>
      </w:r>
      <w:r>
        <w:rPr>
          <w:rFonts w:ascii="Arial" w:eastAsia="Arial" w:hAnsi="Arial" w:cs="Arial"/>
          <w:color w:val="000000"/>
          <w:sz w:val="22"/>
          <w:szCs w:val="22"/>
        </w:rPr>
        <w:t>ocznym okresie ubezpieczenia lub w przypadku polisy celowej (tj. obejmującej ochroną wyłącznie prace projektowe związane z realizacją Umowy) w całym okresie ubezpieczenia.</w:t>
      </w:r>
    </w:p>
    <w:p w14:paraId="00000033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Franszyza redukcyjna nie może być większa niż 30.000 PLN dla szkód w mieniu, z wyjąt</w:t>
      </w:r>
      <w:r>
        <w:rPr>
          <w:rFonts w:ascii="Arial" w:eastAsia="Arial" w:hAnsi="Arial" w:cs="Arial"/>
          <w:color w:val="000000"/>
          <w:sz w:val="22"/>
          <w:szCs w:val="22"/>
        </w:rPr>
        <w:t>kiem czystych strat finansowych, dla których ustalono franszyzę redukcyjną w kwocie nie większej niż wynikającej z formuły: „10% odszkodowania, nie mniej niż 30.000 PLN”. W odniesieniu do szkód osobowych franszyza redukcyjna nie będzie miała zastosowania</w:t>
      </w:r>
    </w:p>
    <w:p w14:paraId="00000034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J</w:t>
      </w:r>
      <w:r>
        <w:rPr>
          <w:rFonts w:ascii="Arial" w:eastAsia="Arial" w:hAnsi="Arial" w:cs="Arial"/>
          <w:color w:val="000000"/>
          <w:sz w:val="22"/>
          <w:szCs w:val="22"/>
        </w:rPr>
        <w:t>eżeli do realizacji prac zostaną zatrudnieni podwykonawcy, ochroną objęte zostaną szkody za które ponosi odpowiedzialność Wykonawca, a które zostały wyrządzone przez podwykonawców; dopuszcza się zastosowanie regresu w stosunku do podwykonawcy będącego spra</w:t>
      </w:r>
      <w:r>
        <w:rPr>
          <w:rFonts w:ascii="Arial" w:eastAsia="Arial" w:hAnsi="Arial" w:cs="Arial"/>
          <w:color w:val="000000"/>
          <w:sz w:val="22"/>
          <w:szCs w:val="22"/>
        </w:rPr>
        <w:t>wcą szkody. Niezależnie od zakresu ubezpieczenia określonego w zdaniu poprzednim, Wykonawca powinien zweryfikować polisy ubezpieczeniowe posiadane przez podwykonawców i zapewnić, aby ich zakres ubezpieczenia był dostosowany do skali i rodzaju prac realizow</w:t>
      </w:r>
      <w:r>
        <w:rPr>
          <w:rFonts w:ascii="Arial" w:eastAsia="Arial" w:hAnsi="Arial" w:cs="Arial"/>
          <w:color w:val="000000"/>
          <w:sz w:val="22"/>
          <w:szCs w:val="22"/>
        </w:rPr>
        <w:t>anych przez podwykonawcę w ramach niniejszej Umowy i był nie węższy niż wymogi określone dla Wykonawcy, chyba że część prac powierzona podwykonawcy nie pociąga za sobą ryzyko powstania szkody określonej wyżej wskazanymi klauzulami  rozszerzającymi. Alterna</w:t>
      </w:r>
      <w:r>
        <w:rPr>
          <w:rFonts w:ascii="Arial" w:eastAsia="Arial" w:hAnsi="Arial" w:cs="Arial"/>
          <w:color w:val="000000"/>
          <w:sz w:val="22"/>
          <w:szCs w:val="22"/>
        </w:rPr>
        <w:t>tywnie dopuszcza się ubezpieczenie podwykonawców, jako podmioty dodatkowo ubezpieczone w ramach polisy Wykonawcy.</w:t>
      </w:r>
    </w:p>
    <w:p w14:paraId="00000035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Wyłączenia odpowiedzialności są dopuszczalne w zakresie zgodnym z aktualną dobrą praktyką rynkową na dzień zawierania umowy ubezpieczenia.</w:t>
      </w:r>
    </w:p>
    <w:p w14:paraId="00000036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o</w:t>
      </w:r>
      <w:r>
        <w:rPr>
          <w:rFonts w:ascii="Arial" w:eastAsia="Arial" w:hAnsi="Arial" w:cs="Arial"/>
          <w:color w:val="000000"/>
          <w:sz w:val="22"/>
          <w:szCs w:val="22"/>
        </w:rPr>
        <w:t>dniesieniu do Wykonawców działających wspólnie (np. konsorcjum) wymóg dotyczący ubezpieczenia odpowiedzialności cywilnej powinien zostać spełniony w następujący sposób: W przypadku zawarcia jednostkowego ubezpieczenia przeznaczonego wyłącznie do ochrony ro</w:t>
      </w:r>
      <w:r>
        <w:rPr>
          <w:rFonts w:ascii="Arial" w:eastAsia="Arial" w:hAnsi="Arial" w:cs="Arial"/>
          <w:color w:val="000000"/>
          <w:sz w:val="22"/>
          <w:szCs w:val="22"/>
        </w:rPr>
        <w:t>szczeń związanych z realizacją Umowy (tzw. polisa celowa), zawartego na cały okres realizacji Umowy, którym objęci byliby wszyscy Wykonawcy działający wspólnie jako ubezpieczeni – wymóg dotyczący sumy gwarancyjnej stosuje się do jednostkowej umowy ubezpiec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zenia. W innym przypadku suma ubezpieczenia dotyczy każdego </w:t>
      </w:r>
      <w:r>
        <w:rPr>
          <w:rFonts w:ascii="Arial" w:eastAsia="Arial" w:hAnsi="Arial" w:cs="Arial"/>
          <w:color w:val="000000"/>
          <w:sz w:val="22"/>
          <w:szCs w:val="22"/>
        </w:rPr>
        <w:lastRenderedPageBreak/>
        <w:t>poszczególnego podmiotu z osobna tzn. każdy z nich powinien posiadać ochronę w zakresie ubezpieczenia odpowiedzialności cywilnej z sumą gwarancyjną w wysokości nie niższej niż 3.000.000 PLN  na je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den i wszystkie wypadki, a jego zakres powinien spełniać, co najmniej warunki określone w pkt 3. </w:t>
      </w:r>
    </w:p>
    <w:p w14:paraId="00000037" w14:textId="77777777" w:rsidR="004F23D9" w:rsidRDefault="00B245E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 w:hanging="2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Ubezpieczenie sprzętu Wykonawcy i Podwykonawców  CPE/CPM </w:t>
      </w:r>
    </w:p>
    <w:p w14:paraId="00000038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Zakres ubezpieczenia będzie zgodny z standardem ubezpieczenia CPE (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Contractors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Plant and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Equipment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), wyłączenia odpowiedzialności są dopuszczalne w zakresie zgodnym z aktualną dobrą praktyką rynkową.</w:t>
      </w:r>
    </w:p>
    <w:p w14:paraId="00000039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Okres obowiązywania ubezpieczenia będzie rozpoczynał się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 momencie wejścia na Teren Budowy i trwał do zejścia z Terenu Budowy; dopuszcza się polisy jednorazowe zawierane ad hoc, dopuszcza się polisy roczne pod warunkiem ich kontynuacji i zachowania ciągłości na niepogorszonych warunkach.</w:t>
      </w:r>
    </w:p>
    <w:p w14:paraId="0000003A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Wykonawca ma obowiązek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wyegzekwowania zawarcia ubezpieczenia przez jego Podwykonawców.</w:t>
      </w:r>
    </w:p>
    <w:p w14:paraId="0000003B" w14:textId="77777777" w:rsidR="004F23D9" w:rsidRDefault="00B245E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 w:hanging="2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Ubezpieczenie Następstw Nieszczęśliwych Wypadków</w:t>
      </w:r>
    </w:p>
    <w:p w14:paraId="0000003C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Wykonawca zobowiązany jest zawrzeć i utrzymać w mocy ubezpieczenie następstw nieszczęśliwych wypadków pracowników spełniające łącznie następuj</w:t>
      </w:r>
      <w:r>
        <w:rPr>
          <w:rFonts w:ascii="Arial" w:eastAsia="Arial" w:hAnsi="Arial" w:cs="Arial"/>
          <w:color w:val="000000"/>
          <w:sz w:val="22"/>
          <w:szCs w:val="22"/>
        </w:rPr>
        <w:t>ące warunki:</w:t>
      </w:r>
    </w:p>
    <w:p w14:paraId="0000003D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Suma ubezpieczenia w polisie (umowie) ubezpieczenia będzie nie niższa niż 20.000,00 PLN (słownie: dwadzieścia tysięcy złotych) na każdą osobę ubezpieczoną.</w:t>
      </w:r>
    </w:p>
    <w:p w14:paraId="0000003E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Ubezpieczonymi będą: wszyscy pracownicy Wykonawcy i jego Podwykonawców oraz inne osoby wykonujące czynności pozostające w związku z realizacją Umowy.</w:t>
      </w:r>
    </w:p>
    <w:p w14:paraId="0000003F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Warunki ubezpieczenia: polisa bezimienna, otwartego pokrycia, gwarantująca określone świadczenie pieniężne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na skutek doznania przez ubezpieczoną osobę uszczerbku na zdrowiu lub śmierci w wyniku zdarzenia, które miało miejsce na Terenie Budowy lub w jego sąsiedztwie.</w:t>
      </w:r>
    </w:p>
    <w:p w14:paraId="00000040" w14:textId="77777777" w:rsidR="004F23D9" w:rsidRDefault="004F23D9">
      <w:pPr>
        <w:pBdr>
          <w:top w:val="nil"/>
          <w:left w:val="nil"/>
          <w:bottom w:val="nil"/>
          <w:right w:val="nil"/>
          <w:between w:val="nil"/>
        </w:pBdr>
        <w:spacing w:before="80" w:after="120"/>
        <w:ind w:right="-3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0000041" w14:textId="77777777" w:rsidR="004F23D9" w:rsidRDefault="00B245E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-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Postanowienia wspólne:</w:t>
      </w:r>
      <w:r>
        <w:rPr>
          <w:rFonts w:ascii="Arial" w:eastAsia="Arial" w:hAnsi="Arial" w:cs="Arial"/>
          <w:b/>
          <w:i/>
          <w:color w:val="000000"/>
          <w:sz w:val="22"/>
          <w:szCs w:val="22"/>
          <w:u w:val="single"/>
        </w:rPr>
        <w:t xml:space="preserve"> </w:t>
      </w:r>
    </w:p>
    <w:p w14:paraId="00000042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jest zobligowany dostarczyć kopie polis lub innych dokumentów  ubezpieczeniowych określających warunki i zakres ubezpieczenia (potwierdzone za zgodność z oryginałem), poświadczające zawarcie umów ubezpieczenia, zgodnie z wymogami, o których mowa </w:t>
      </w:r>
      <w:r>
        <w:rPr>
          <w:rFonts w:ascii="Arial" w:eastAsia="Arial" w:hAnsi="Arial" w:cs="Arial"/>
          <w:color w:val="000000"/>
          <w:sz w:val="22"/>
          <w:szCs w:val="22"/>
        </w:rPr>
        <w:t>powyżej.</w:t>
      </w:r>
    </w:p>
    <w:p w14:paraId="00000043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Wraz z kopią polis lub innych dokumentów ubezpieczeniowych Wykonawca będzie zobowiązany dostarczyć Zamawiającemu potwierdzenie opłacenia składki lub raty składki z tytułu zawartych umów ubezpieczenia. Jeżeli składka jest płatna w ratach Wykonawca </w:t>
      </w:r>
      <w:r>
        <w:rPr>
          <w:rFonts w:ascii="Arial" w:eastAsia="Arial" w:hAnsi="Arial" w:cs="Arial"/>
          <w:color w:val="000000"/>
          <w:sz w:val="22"/>
          <w:szCs w:val="22"/>
        </w:rPr>
        <w:t>zobligowany jest dostarczyć Zamawiającemu potwierdzenie opłacenia składki nie później niż w dniu płatności określonym w umowie ubezpieczenia.</w:t>
      </w:r>
    </w:p>
    <w:p w14:paraId="00000044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Jeżeli w trakcie trwania niniejszej Umowy upłynie okres ubezpieczenia w przedłożonych przez Wykonawcę umowach ubez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pieczenia, Wykonawca niezwłocznie i bez wezwania dostarczy Zamawiającemu dokument potwierdzający przedłużenie bieżącej lub zawarcie nowej umowy ubezpieczenia zgodnej z wymaganiami określonymi w niniejszym artykule, w terminie najpóźniej </w:t>
      </w: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3 dni przed końcem </w:t>
      </w:r>
      <w:r>
        <w:rPr>
          <w:rFonts w:ascii="Arial" w:eastAsia="Arial" w:hAnsi="Arial" w:cs="Arial"/>
          <w:color w:val="000000"/>
          <w:sz w:val="22"/>
          <w:szCs w:val="22"/>
        </w:rPr>
        <w:t>bieżącego okresu ubezpieczenia. Wykonawca ma przy tym obowiązek zapewnić ciągłość ochrony ubezpieczeniowej.</w:t>
      </w:r>
    </w:p>
    <w:p w14:paraId="00000045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Jeżeli wymagane umowy ubezpieczenia nie zostaną zawarta lub dokumenty potwierdzające ich zawarcie (w tym dowody opłacenia składki) nie zostaną dosta</w:t>
      </w:r>
      <w:r>
        <w:rPr>
          <w:rFonts w:ascii="Arial" w:eastAsia="Arial" w:hAnsi="Arial" w:cs="Arial"/>
          <w:color w:val="000000"/>
          <w:sz w:val="22"/>
          <w:szCs w:val="22"/>
        </w:rPr>
        <w:t>rczone, albo jeśli zakres ochrony będzie odbiegał na niekorzyść Zamawiającego od zakresu wskazanego w niniejszym artykule lub Wykonawca w jakikolwiek sposób i stopniu zmieni zapisy umów ubezpieczenia na niekorzyść Zamawiającego bez jego zgody, bądź gdy świ</w:t>
      </w:r>
      <w:r>
        <w:rPr>
          <w:rFonts w:ascii="Arial" w:eastAsia="Arial" w:hAnsi="Arial" w:cs="Arial"/>
          <w:color w:val="000000"/>
          <w:sz w:val="22"/>
          <w:szCs w:val="22"/>
        </w:rPr>
        <w:t>adomie wprowadzi w błąd Zamawiającego co do istnienia lub warunków tychże umów ubezpieczenia, Zamawiający ma prawo samodzielnie zawrzeć stosowną umowę ubezpieczenia we wskazanym powyżej zakresie. Zamawiający obciąży Wykonawcę składką za tak zawartą umowę u</w:t>
      </w:r>
      <w:r>
        <w:rPr>
          <w:rFonts w:ascii="Arial" w:eastAsia="Arial" w:hAnsi="Arial" w:cs="Arial"/>
          <w:color w:val="000000"/>
          <w:sz w:val="22"/>
          <w:szCs w:val="22"/>
        </w:rPr>
        <w:t>bezpieczenia wzywając go do zapłaty lub dokonując potrącenia wraz z należnymi odsetkami z wynagrodzenia Wykonawcy.</w:t>
      </w:r>
    </w:p>
    <w:p w14:paraId="00000046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Umowy ubezpieczenia wymienione w niniejszym załączniku powinny zostać zawarte z ubezpieczycielem lub ubezpieczycielami z zastosowaniem minima</w:t>
      </w:r>
      <w:r>
        <w:rPr>
          <w:rFonts w:ascii="Arial" w:eastAsia="Arial" w:hAnsi="Arial" w:cs="Arial"/>
          <w:color w:val="000000"/>
          <w:sz w:val="22"/>
          <w:szCs w:val="22"/>
        </w:rPr>
        <w:t>lnych wymogów przedstawionych w Umowie. Zatwierdzenia Zamawiającego wymaga jakakolwiek zmiana warunków ochrony ubezpieczeniowej powodująca ich pogorszenie w porównaniu z treścią Umowy. Decyzja dotycząca zatwierdzenia zmiany musi być przedstawiona Wykonawcy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 terminie 14 dni od daty otrzymania propozycji zmiany umowy ubezpieczenia, która powinna być dostarczona Zamawiającemu nie później niż 14 dni przed planowanym przekazaniem terenu prac. Niewniesienie w powyższym 14- dniowym terminie zastrzeżeń oznacza zat</w:t>
      </w:r>
      <w:r>
        <w:rPr>
          <w:rFonts w:ascii="Arial" w:eastAsia="Arial" w:hAnsi="Arial" w:cs="Arial"/>
          <w:color w:val="000000"/>
          <w:sz w:val="22"/>
          <w:szCs w:val="22"/>
        </w:rPr>
        <w:t>wierdzenie zmiany warunków.</w:t>
      </w:r>
      <w:r>
        <w:rPr>
          <w:rFonts w:ascii="Arial" w:eastAsia="Arial" w:hAnsi="Arial" w:cs="Arial"/>
          <w:b/>
          <w:i/>
          <w:color w:val="000000"/>
          <w:sz w:val="22"/>
          <w:szCs w:val="22"/>
          <w:u w:val="single"/>
        </w:rPr>
        <w:t xml:space="preserve">  </w:t>
      </w:r>
    </w:p>
    <w:p w14:paraId="00000047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Obowiązek Wykonawcy do zawarcia i przedłużania ważności wymaganych umów ubezpieczenia nie może być w żadnym wypadku interpretowany jako ograniczenie odpowiedzialności wynikającej z Umowy.</w:t>
      </w:r>
    </w:p>
    <w:p w14:paraId="00000048" w14:textId="77777777" w:rsidR="004F23D9" w:rsidRDefault="00B245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przypadku zajścia wypadku ubezpiecze</w:t>
      </w:r>
      <w:r>
        <w:rPr>
          <w:rFonts w:ascii="Arial" w:eastAsia="Arial" w:hAnsi="Arial" w:cs="Arial"/>
          <w:color w:val="000000"/>
          <w:sz w:val="22"/>
          <w:szCs w:val="22"/>
        </w:rPr>
        <w:t>niowego wszyscy uczestnicy procesu realizacji Umowy – Wykonawca i Zamawiający udzielą sobie rozsądnej pomocy i współpracują przy likwidacji szkody tak, aby proces likwidacji szkody przebiegał szybko i bez zakłóceń.</w:t>
      </w:r>
    </w:p>
    <w:sectPr w:rsidR="004F23D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86E01" w14:textId="77777777" w:rsidR="00B245EE" w:rsidRDefault="00B245EE">
      <w:r>
        <w:separator/>
      </w:r>
    </w:p>
  </w:endnote>
  <w:endnote w:type="continuationSeparator" w:id="0">
    <w:p w14:paraId="2D6E6694" w14:textId="77777777" w:rsidR="00B245EE" w:rsidRDefault="00B24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49" w14:textId="23B6C18A" w:rsidR="004F23D9" w:rsidRDefault="00B245E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jc w:val="right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 w:rsidR="00C95E73"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C95E73">
      <w:rPr>
        <w:rFonts w:ascii="Arial" w:eastAsia="Arial" w:hAnsi="Arial" w:cs="Arial"/>
        <w:noProof/>
        <w:color w:val="000000"/>
        <w:sz w:val="22"/>
        <w:szCs w:val="22"/>
      </w:rPr>
      <w:t>1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</w:p>
  <w:p w14:paraId="0000004A" w14:textId="77777777" w:rsidR="004F23D9" w:rsidRDefault="004F23D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jc w:val="both"/>
      <w:rPr>
        <w:rFonts w:ascii="Arial" w:eastAsia="Arial" w:hAnsi="Arial" w:cs="Arial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8223F" w14:textId="77777777" w:rsidR="00B245EE" w:rsidRDefault="00B245EE">
      <w:r>
        <w:separator/>
      </w:r>
    </w:p>
  </w:footnote>
  <w:footnote w:type="continuationSeparator" w:id="0">
    <w:p w14:paraId="42921BEF" w14:textId="77777777" w:rsidR="00B245EE" w:rsidRDefault="00B24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D2D0E" w14:textId="3ABEA1DB" w:rsidR="00C95E73" w:rsidRDefault="00C95E73">
    <w:pPr>
      <w:pStyle w:val="Nagwek"/>
    </w:pPr>
    <w:r>
      <w:rPr>
        <w:noProof/>
      </w:rPr>
      <w:drawing>
        <wp:inline distT="114300" distB="114300" distL="114300" distR="114300" wp14:anchorId="3E54306A" wp14:editId="3ED234E4">
          <wp:extent cx="5731200" cy="5461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546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1321F1"/>
    <w:multiLevelType w:val="multilevel"/>
    <w:tmpl w:val="B80C4B06"/>
    <w:lvl w:ilvl="0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49B270B3"/>
    <w:multiLevelType w:val="multilevel"/>
    <w:tmpl w:val="A4F6F50C"/>
    <w:lvl w:ilvl="0">
      <w:start w:val="1"/>
      <w:numFmt w:val="upperRoman"/>
      <w:lvlText w:val="%1."/>
      <w:lvlJc w:val="righ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CEE00C2"/>
    <w:multiLevelType w:val="multilevel"/>
    <w:tmpl w:val="76A2BB4C"/>
    <w:lvl w:ilvl="0">
      <w:start w:val="1"/>
      <w:numFmt w:val="decimal"/>
      <w:lvlText w:val="%12"/>
      <w:lvlJc w:val="left"/>
      <w:pPr>
        <w:ind w:left="570" w:hanging="570"/>
      </w:pPr>
      <w:rPr>
        <w:b/>
        <w:vertAlign w:val="baseline"/>
      </w:rPr>
    </w:lvl>
    <w:lvl w:ilvl="1">
      <w:start w:val="1"/>
      <w:numFmt w:val="decimal"/>
      <w:lvlText w:val="%1%2."/>
      <w:lvlJc w:val="left"/>
      <w:pPr>
        <w:ind w:left="720" w:hanging="720"/>
      </w:pPr>
      <w:rPr>
        <w:b w:val="0"/>
        <w:i w:val="0"/>
        <w:strike w:val="0"/>
        <w:color w:val="000000"/>
        <w:u w:val="none"/>
        <w:vertAlign w:val="baseline"/>
      </w:rPr>
    </w:lvl>
    <w:lvl w:ilvl="2">
      <w:start w:val="1"/>
      <w:numFmt w:val="decimal"/>
      <w:lvlText w:val="%1%2.%3."/>
      <w:lvlJc w:val="left"/>
      <w:pPr>
        <w:ind w:left="1276" w:hanging="567"/>
      </w:pPr>
      <w:rPr>
        <w:b w:val="0"/>
        <w:i w:val="0"/>
        <w:color w:val="000000"/>
        <w:vertAlign w:val="baseline"/>
      </w:rPr>
    </w:lvl>
    <w:lvl w:ilvl="3">
      <w:start w:val="1"/>
      <w:numFmt w:val="decimal"/>
      <w:lvlText w:val="%1%2.%3.%4."/>
      <w:lvlJc w:val="left"/>
      <w:pPr>
        <w:ind w:left="720" w:hanging="720"/>
      </w:pPr>
      <w:rPr>
        <w:b w:val="0"/>
        <w:i w:val="0"/>
        <w:strike w:val="0"/>
        <w:color w:val="000000"/>
        <w:u w:val="none"/>
        <w:vertAlign w:val="baseline"/>
      </w:rPr>
    </w:lvl>
    <w:lvl w:ilvl="4">
      <w:start w:val="1"/>
      <w:numFmt w:val="decimal"/>
      <w:lvlText w:val="%1%2.%3.%4.%5."/>
      <w:lvlJc w:val="left"/>
      <w:pPr>
        <w:ind w:left="1080" w:hanging="1080"/>
      </w:pPr>
      <w:rPr>
        <w:b w:val="0"/>
        <w:vertAlign w:val="baseline"/>
      </w:rPr>
    </w:lvl>
    <w:lvl w:ilvl="5">
      <w:start w:val="1"/>
      <w:numFmt w:val="decimal"/>
      <w:lvlText w:val="%1%2.%3.%4.%5.%6."/>
      <w:lvlJc w:val="left"/>
      <w:pPr>
        <w:ind w:left="1080" w:hanging="1080"/>
      </w:pPr>
      <w:rPr>
        <w:b/>
        <w:vertAlign w:val="baseline"/>
      </w:rPr>
    </w:lvl>
    <w:lvl w:ilvl="6">
      <w:start w:val="1"/>
      <w:numFmt w:val="decimal"/>
      <w:lvlText w:val="%1%2.%3.%4.%5.%6.%7."/>
      <w:lvlJc w:val="left"/>
      <w:pPr>
        <w:ind w:left="1440" w:hanging="1440"/>
      </w:pPr>
      <w:rPr>
        <w:b/>
        <w:vertAlign w:val="baseline"/>
      </w:rPr>
    </w:lvl>
    <w:lvl w:ilvl="7">
      <w:start w:val="1"/>
      <w:numFmt w:val="decimal"/>
      <w:lvlText w:val="%1%2.%3.%4.%5.%6.%7.%8."/>
      <w:lvlJc w:val="left"/>
      <w:pPr>
        <w:ind w:left="1440" w:hanging="1440"/>
      </w:pPr>
      <w:rPr>
        <w:b/>
        <w:vertAlign w:val="baseline"/>
      </w:rPr>
    </w:lvl>
    <w:lvl w:ilvl="8">
      <w:start w:val="1"/>
      <w:numFmt w:val="decimal"/>
      <w:lvlText w:val="%1%2.%3.%4.%5.%6.%7.%8.%9."/>
      <w:lvlJc w:val="left"/>
      <w:pPr>
        <w:ind w:left="1800" w:hanging="1800"/>
      </w:pPr>
      <w:rPr>
        <w:b/>
        <w:vertAlign w:val="baseline"/>
      </w:rPr>
    </w:lvl>
  </w:abstractNum>
  <w:abstractNum w:abstractNumId="3" w15:restartNumberingAfterBreak="0">
    <w:nsid w:val="60416D54"/>
    <w:multiLevelType w:val="multilevel"/>
    <w:tmpl w:val="F1FAA5BC"/>
    <w:lvl w:ilvl="0">
      <w:start w:val="1"/>
      <w:numFmt w:val="decimal"/>
      <w:lvlText w:val="%1"/>
      <w:lvlJc w:val="left"/>
      <w:pPr>
        <w:ind w:left="570" w:hanging="570"/>
      </w:pPr>
      <w:rPr>
        <w:b/>
        <w:vertAlign w:val="baseline"/>
      </w:rPr>
    </w:lvl>
    <w:lvl w:ilvl="1">
      <w:start w:val="1"/>
      <w:numFmt w:val="decimal"/>
      <w:lvlText w:val="%1%2."/>
      <w:lvlJc w:val="left"/>
      <w:pPr>
        <w:ind w:left="720" w:hanging="720"/>
      </w:pPr>
      <w:rPr>
        <w:b w:val="0"/>
        <w:i w:val="0"/>
        <w:strike w:val="0"/>
        <w:color w:val="000000"/>
        <w:vertAlign w:val="baseline"/>
      </w:rPr>
    </w:lvl>
    <w:lvl w:ilvl="2">
      <w:start w:val="1"/>
      <w:numFmt w:val="decimal"/>
      <w:lvlText w:val="%1%2.%3."/>
      <w:lvlJc w:val="left"/>
      <w:pPr>
        <w:ind w:left="1276" w:hanging="567"/>
      </w:pPr>
      <w:rPr>
        <w:b w:val="0"/>
        <w:i w:val="0"/>
        <w:color w:val="000000"/>
        <w:vertAlign w:val="baseline"/>
      </w:rPr>
    </w:lvl>
    <w:lvl w:ilvl="3">
      <w:start w:val="1"/>
      <w:numFmt w:val="decimal"/>
      <w:lvlText w:val="%1%2.%3.%4."/>
      <w:lvlJc w:val="left"/>
      <w:pPr>
        <w:ind w:left="720" w:hanging="720"/>
      </w:pPr>
      <w:rPr>
        <w:b w:val="0"/>
        <w:i w:val="0"/>
        <w:strike w:val="0"/>
        <w:color w:val="000000"/>
        <w:vertAlign w:val="baseline"/>
      </w:rPr>
    </w:lvl>
    <w:lvl w:ilvl="4">
      <w:start w:val="1"/>
      <w:numFmt w:val="decimal"/>
      <w:lvlText w:val="%1%2.%3.%4.%5."/>
      <w:lvlJc w:val="left"/>
      <w:pPr>
        <w:ind w:left="1080" w:hanging="1080"/>
      </w:pPr>
      <w:rPr>
        <w:b w:val="0"/>
        <w:vertAlign w:val="baseline"/>
      </w:rPr>
    </w:lvl>
    <w:lvl w:ilvl="5">
      <w:start w:val="1"/>
      <w:numFmt w:val="decimal"/>
      <w:lvlText w:val="%1%2.%3.%4.%5.%6."/>
      <w:lvlJc w:val="left"/>
      <w:pPr>
        <w:ind w:left="1080" w:hanging="1080"/>
      </w:pPr>
      <w:rPr>
        <w:b/>
        <w:vertAlign w:val="baseline"/>
      </w:rPr>
    </w:lvl>
    <w:lvl w:ilvl="6">
      <w:start w:val="1"/>
      <w:numFmt w:val="decimal"/>
      <w:lvlText w:val="%1%2.%3.%4.%5.%6.%7."/>
      <w:lvlJc w:val="left"/>
      <w:pPr>
        <w:ind w:left="1440" w:hanging="1440"/>
      </w:pPr>
      <w:rPr>
        <w:b/>
        <w:vertAlign w:val="baseline"/>
      </w:rPr>
    </w:lvl>
    <w:lvl w:ilvl="7">
      <w:start w:val="1"/>
      <w:numFmt w:val="decimal"/>
      <w:lvlText w:val="%1%2.%3.%4.%5.%6.%7.%8."/>
      <w:lvlJc w:val="left"/>
      <w:pPr>
        <w:ind w:left="1440" w:hanging="1440"/>
      </w:pPr>
      <w:rPr>
        <w:b/>
        <w:vertAlign w:val="baseline"/>
      </w:rPr>
    </w:lvl>
    <w:lvl w:ilvl="8">
      <w:start w:val="1"/>
      <w:numFmt w:val="decimal"/>
      <w:lvlText w:val="%1%2.%3.%4.%5.%6.%7.%8.%9."/>
      <w:lvlJc w:val="left"/>
      <w:pPr>
        <w:ind w:left="1800" w:hanging="1800"/>
      </w:pPr>
      <w:rPr>
        <w:b/>
        <w:vertAlign w:val="baseline"/>
      </w:rPr>
    </w:lvl>
  </w:abstractNum>
  <w:abstractNum w:abstractNumId="4" w15:restartNumberingAfterBreak="0">
    <w:nsid w:val="6D4D5EF3"/>
    <w:multiLevelType w:val="multilevel"/>
    <w:tmpl w:val="BF6AEC2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vertAlign w:val="baseline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3D9"/>
    <w:rsid w:val="004F23D9"/>
    <w:rsid w:val="00B245EE"/>
    <w:rsid w:val="00C9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F1E7D"/>
  <w15:docId w15:val="{9F43D979-7ACF-4CCF-8E5F-3AD0F0712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C95E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5E73"/>
  </w:style>
  <w:style w:type="paragraph" w:styleId="Stopka">
    <w:name w:val="footer"/>
    <w:basedOn w:val="Normalny"/>
    <w:link w:val="StopkaZnak"/>
    <w:uiPriority w:val="99"/>
    <w:unhideWhenUsed/>
    <w:rsid w:val="00C95E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5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2455</Words>
  <Characters>14731</Characters>
  <Application>Microsoft Office Word</Application>
  <DocSecurity>0</DocSecurity>
  <Lines>122</Lines>
  <Paragraphs>34</Paragraphs>
  <ScaleCrop>false</ScaleCrop>
  <Company/>
  <LinksUpToDate>false</LinksUpToDate>
  <CharactersWithSpaces>17152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Ścibior Pawel - ADICT</cp:lastModifiedBy>
  <cp:revision>2</cp:revision>
  <dcterms:created xsi:type="dcterms:W3CDTF">2025-06-18T11:09:00Z</dcterms:created>
  <dcterms:modified xsi:type="dcterms:W3CDTF">2025-06-18T11:10:00Z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2022-09-22T09:01:15Z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dd4412d1-85af-4d17-bd45-f64d82bc55fc</vt:lpwstr>
  </property>
  <property fmtid="{D5CDD505-2E9C-101B-9397-08002B2CF9AE}" pid="8" name="MSIP_Label_38f1469a-2c2a-4aee-b92b-090d4c5468ff_ContentBits">
    <vt:lpwstr>0</vt:lpwstr>
  </property>
</Properties>
</file>