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6729F" w14:textId="77777777" w:rsidR="009901F3" w:rsidRDefault="009901F3" w:rsidP="00AE3FF2">
      <w:pPr>
        <w:jc w:val="center"/>
      </w:pPr>
    </w:p>
    <w:p w14:paraId="74DDB393" w14:textId="74982755" w:rsidR="00890004" w:rsidRDefault="00890004" w:rsidP="00890004">
      <w:pPr>
        <w:jc w:val="right"/>
        <w:rPr>
          <w:rFonts w:ascii="Calibri" w:hAnsi="Calibri" w:cs="Calibri"/>
          <w:sz w:val="22"/>
          <w:szCs w:val="22"/>
        </w:rPr>
      </w:pPr>
      <w:r w:rsidRPr="0029095A">
        <w:rPr>
          <w:rFonts w:ascii="Calibri" w:hAnsi="Calibri" w:cs="Calibri"/>
          <w:sz w:val="22"/>
          <w:szCs w:val="22"/>
        </w:rPr>
        <w:t>ZAŁĄCZNIK NR 3</w:t>
      </w:r>
      <w:r>
        <w:rPr>
          <w:rFonts w:ascii="Calibri" w:hAnsi="Calibri" w:cs="Calibri"/>
          <w:sz w:val="22"/>
          <w:szCs w:val="22"/>
        </w:rPr>
        <w:t>.</w:t>
      </w:r>
      <w:r w:rsidR="002D64A8">
        <w:rPr>
          <w:rFonts w:ascii="Calibri" w:hAnsi="Calibri" w:cs="Calibri"/>
          <w:sz w:val="22"/>
          <w:szCs w:val="22"/>
        </w:rPr>
        <w:t>5</w:t>
      </w:r>
      <w:r w:rsidRPr="0029095A">
        <w:rPr>
          <w:rFonts w:ascii="Calibri" w:hAnsi="Calibri" w:cs="Calibri"/>
          <w:sz w:val="22"/>
          <w:szCs w:val="22"/>
        </w:rPr>
        <w:t xml:space="preserve"> do Zapytania ofertowego</w:t>
      </w:r>
    </w:p>
    <w:p w14:paraId="783F0696" w14:textId="77777777" w:rsidR="00890004" w:rsidRDefault="00890004" w:rsidP="00890004">
      <w:pPr>
        <w:pStyle w:val="Nagwek"/>
        <w:rPr>
          <w:rFonts w:ascii="Calibri" w:hAnsi="Calibri" w:cs="Calibri"/>
          <w:sz w:val="22"/>
          <w:szCs w:val="22"/>
        </w:rPr>
      </w:pPr>
    </w:p>
    <w:p w14:paraId="24EC8FD2" w14:textId="77777777" w:rsidR="00890004" w:rsidRPr="00BF6E04" w:rsidRDefault="00890004" w:rsidP="00890004">
      <w:pPr>
        <w:pStyle w:val="Nagwek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sz w:val="22"/>
          <w:szCs w:val="22"/>
        </w:rPr>
        <w:t xml:space="preserve">oznaczenie sprawy: </w:t>
      </w:r>
      <w:r>
        <w:rPr>
          <w:rFonts w:ascii="Calibri" w:hAnsi="Calibri" w:cs="Calibri"/>
          <w:sz w:val="22"/>
          <w:szCs w:val="22"/>
        </w:rPr>
        <w:t>3</w:t>
      </w:r>
      <w:r w:rsidRPr="00BF6E04">
        <w:rPr>
          <w:rFonts w:ascii="Calibri" w:hAnsi="Calibri" w:cs="Calibri"/>
          <w:sz w:val="22"/>
          <w:szCs w:val="22"/>
        </w:rPr>
        <w:t>/ZO/BAZA/2025</w:t>
      </w:r>
    </w:p>
    <w:p w14:paraId="22563159" w14:textId="77777777" w:rsidR="00890004" w:rsidRPr="00BF6E04" w:rsidRDefault="00890004" w:rsidP="00890004">
      <w:pPr>
        <w:pStyle w:val="Nagwek"/>
        <w:rPr>
          <w:rFonts w:ascii="Calibri" w:hAnsi="Calibri" w:cs="Calibri"/>
          <w:b/>
          <w:bCs/>
          <w:sz w:val="22"/>
          <w:szCs w:val="22"/>
        </w:rPr>
      </w:pPr>
    </w:p>
    <w:p w14:paraId="5FAFF6CD" w14:textId="3CD934E6" w:rsidR="00890004" w:rsidRPr="00BF6E04" w:rsidRDefault="00890004" w:rsidP="00890004">
      <w:pPr>
        <w:pStyle w:val="Nagwek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PAKIET NR </w:t>
      </w:r>
      <w:r w:rsidR="002D64A8">
        <w:rPr>
          <w:rFonts w:ascii="Calibri" w:hAnsi="Calibri" w:cs="Calibri"/>
          <w:b/>
          <w:color w:val="000000" w:themeColor="text1"/>
          <w:sz w:val="22"/>
          <w:szCs w:val="22"/>
        </w:rPr>
        <w:t>5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 - </w:t>
      </w:r>
      <w:r w:rsidRPr="00BF6E04">
        <w:rPr>
          <w:rFonts w:ascii="Calibri" w:hAnsi="Calibri" w:cs="Calibri"/>
          <w:b/>
          <w:color w:val="000000" w:themeColor="text1"/>
          <w:sz w:val="22"/>
          <w:szCs w:val="22"/>
        </w:rPr>
        <w:t>ZESTAWIENIE PARAMETRÓW TECHNICZNO-UŻYTKOWYCH PRZEDMIOTU ZAMÓWIENIA</w:t>
      </w:r>
    </w:p>
    <w:p w14:paraId="7C9BFDA5" w14:textId="77777777" w:rsidR="00890004" w:rsidRDefault="00890004" w:rsidP="00890004"/>
    <w:p w14:paraId="075EA7B8" w14:textId="77777777" w:rsidR="00890004" w:rsidRPr="006100B5" w:rsidRDefault="00890004" w:rsidP="00890004">
      <w:pPr>
        <w:rPr>
          <w:sz w:val="22"/>
          <w:szCs w:val="22"/>
        </w:rPr>
      </w:pPr>
      <w:r w:rsidRPr="006100B5">
        <w:rPr>
          <w:sz w:val="22"/>
          <w:szCs w:val="22"/>
        </w:rPr>
        <w:t>Stół operacyjny w ilości 1 szt.</w:t>
      </w:r>
    </w:p>
    <w:p w14:paraId="5554EC39" w14:textId="77777777" w:rsidR="00890004" w:rsidRPr="006100B5" w:rsidRDefault="00890004" w:rsidP="00890004">
      <w:pPr>
        <w:rPr>
          <w:sz w:val="22"/>
          <w:szCs w:val="22"/>
        </w:rPr>
      </w:pPr>
      <w:r w:rsidRPr="006100B5">
        <w:rPr>
          <w:sz w:val="22"/>
          <w:szCs w:val="22"/>
        </w:rPr>
        <w:t xml:space="preserve">Nazwa i typ: </w:t>
      </w:r>
      <w:r w:rsidRPr="006100B5">
        <w:rPr>
          <w:sz w:val="22"/>
          <w:szCs w:val="22"/>
        </w:rPr>
        <w:tab/>
      </w:r>
      <w:r w:rsidRPr="006100B5">
        <w:rPr>
          <w:sz w:val="22"/>
          <w:szCs w:val="22"/>
        </w:rPr>
        <w:tab/>
      </w:r>
    </w:p>
    <w:p w14:paraId="35F73142" w14:textId="77777777" w:rsidR="00890004" w:rsidRPr="006100B5" w:rsidRDefault="00890004" w:rsidP="00890004">
      <w:pPr>
        <w:rPr>
          <w:sz w:val="22"/>
          <w:szCs w:val="22"/>
        </w:rPr>
      </w:pPr>
      <w:r w:rsidRPr="006100B5">
        <w:rPr>
          <w:sz w:val="22"/>
          <w:szCs w:val="22"/>
        </w:rPr>
        <w:t>Producent:</w:t>
      </w:r>
      <w:r w:rsidRPr="006100B5">
        <w:rPr>
          <w:sz w:val="22"/>
          <w:szCs w:val="22"/>
        </w:rPr>
        <w:tab/>
      </w:r>
      <w:r w:rsidRPr="006100B5">
        <w:rPr>
          <w:sz w:val="22"/>
          <w:szCs w:val="22"/>
        </w:rPr>
        <w:tab/>
      </w:r>
    </w:p>
    <w:p w14:paraId="67296FB1" w14:textId="77777777" w:rsidR="00890004" w:rsidRPr="006100B5" w:rsidRDefault="00890004" w:rsidP="00890004">
      <w:pPr>
        <w:rPr>
          <w:sz w:val="22"/>
          <w:szCs w:val="22"/>
        </w:rPr>
      </w:pPr>
      <w:r w:rsidRPr="006100B5">
        <w:rPr>
          <w:sz w:val="22"/>
          <w:szCs w:val="22"/>
        </w:rPr>
        <w:t>Kraj produkcji:</w:t>
      </w:r>
      <w:r w:rsidRPr="006100B5">
        <w:rPr>
          <w:sz w:val="22"/>
          <w:szCs w:val="22"/>
        </w:rPr>
        <w:tab/>
      </w:r>
      <w:r w:rsidRPr="006100B5">
        <w:rPr>
          <w:sz w:val="22"/>
          <w:szCs w:val="22"/>
        </w:rPr>
        <w:tab/>
      </w:r>
    </w:p>
    <w:p w14:paraId="3BAEB46A" w14:textId="77777777" w:rsidR="00890004" w:rsidRPr="006100B5" w:rsidRDefault="00890004" w:rsidP="00890004">
      <w:pPr>
        <w:rPr>
          <w:sz w:val="22"/>
          <w:szCs w:val="22"/>
        </w:rPr>
      </w:pPr>
      <w:r w:rsidRPr="006100B5">
        <w:rPr>
          <w:sz w:val="22"/>
          <w:szCs w:val="22"/>
        </w:rPr>
        <w:t xml:space="preserve">Rok produkcji: </w:t>
      </w:r>
      <w:r w:rsidRPr="006100B5">
        <w:rPr>
          <w:sz w:val="22"/>
          <w:szCs w:val="22"/>
        </w:rPr>
        <w:tab/>
      </w:r>
      <w:r w:rsidRPr="006100B5">
        <w:rPr>
          <w:sz w:val="22"/>
          <w:szCs w:val="22"/>
        </w:rPr>
        <w:tab/>
      </w:r>
    </w:p>
    <w:p w14:paraId="7981140F" w14:textId="384C1B8D" w:rsidR="00AE3FF2" w:rsidRDefault="00890004" w:rsidP="00890004">
      <w:r w:rsidRPr="006100B5">
        <w:rPr>
          <w:sz w:val="22"/>
          <w:szCs w:val="22"/>
        </w:rPr>
        <w:t xml:space="preserve">Klasa wyrobu medycznego: </w:t>
      </w:r>
      <w:r w:rsidRPr="006100B5">
        <w:rPr>
          <w:sz w:val="22"/>
          <w:szCs w:val="22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088"/>
        <w:gridCol w:w="1738"/>
        <w:gridCol w:w="2674"/>
      </w:tblGrid>
      <w:tr w:rsidR="00AE3FF2" w:rsidRPr="002D64A8" w14:paraId="216FBF5B" w14:textId="77777777" w:rsidTr="001E1B9B">
        <w:tc>
          <w:tcPr>
            <w:tcW w:w="562" w:type="dxa"/>
          </w:tcPr>
          <w:p w14:paraId="786C33C9" w14:textId="3A2EA1B0" w:rsidR="00AE3FF2" w:rsidRPr="002D64A8" w:rsidRDefault="00AE3FF2" w:rsidP="00AE3FF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D64A8">
              <w:rPr>
                <w:rFonts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11" w:type="dxa"/>
          </w:tcPr>
          <w:p w14:paraId="6A0BA61B" w14:textId="07E3242B" w:rsidR="00AE3FF2" w:rsidRPr="002D64A8" w:rsidRDefault="00AE3FF2" w:rsidP="00AE3FF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D64A8">
              <w:rPr>
                <w:rFonts w:cstheme="minorHAnsi"/>
                <w:b/>
                <w:bCs/>
                <w:sz w:val="22"/>
                <w:szCs w:val="22"/>
              </w:rPr>
              <w:t>Opis parametru/wartości</w:t>
            </w:r>
          </w:p>
        </w:tc>
        <w:tc>
          <w:tcPr>
            <w:tcW w:w="1701" w:type="dxa"/>
          </w:tcPr>
          <w:p w14:paraId="5BF05A9C" w14:textId="2B515E6C" w:rsidR="00AE3FF2" w:rsidRPr="002D64A8" w:rsidRDefault="00AE3FF2" w:rsidP="00AE3FF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D64A8">
              <w:rPr>
                <w:rFonts w:cstheme="minorHAnsi"/>
                <w:b/>
                <w:bCs/>
                <w:sz w:val="22"/>
                <w:szCs w:val="22"/>
              </w:rPr>
              <w:t xml:space="preserve">Wymagane </w:t>
            </w:r>
          </w:p>
        </w:tc>
        <w:tc>
          <w:tcPr>
            <w:tcW w:w="2688" w:type="dxa"/>
          </w:tcPr>
          <w:p w14:paraId="2ED0F5BA" w14:textId="258043AC" w:rsidR="00AE3FF2" w:rsidRPr="002D64A8" w:rsidRDefault="00AE3FF2" w:rsidP="00AE3FF2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D64A8">
              <w:rPr>
                <w:rFonts w:cstheme="minorHAnsi"/>
                <w:b/>
                <w:bCs/>
                <w:sz w:val="22"/>
                <w:szCs w:val="22"/>
              </w:rPr>
              <w:t>Potwierdzenie parametru</w:t>
            </w:r>
            <w:r w:rsidR="009901F3" w:rsidRPr="002D64A8">
              <w:rPr>
                <w:rFonts w:cstheme="minorHAnsi"/>
                <w:b/>
                <w:bCs/>
                <w:sz w:val="22"/>
                <w:szCs w:val="22"/>
              </w:rPr>
              <w:t xml:space="preserve"> lub propozycja </w:t>
            </w:r>
          </w:p>
        </w:tc>
      </w:tr>
      <w:tr w:rsidR="000B06AD" w:rsidRPr="002D64A8" w14:paraId="63D1FBBC" w14:textId="77777777" w:rsidTr="001E1B9B">
        <w:tc>
          <w:tcPr>
            <w:tcW w:w="562" w:type="dxa"/>
          </w:tcPr>
          <w:p w14:paraId="18381E15" w14:textId="6DF17845" w:rsidR="000B06AD" w:rsidRPr="002D64A8" w:rsidRDefault="006A52FB" w:rsidP="00AE3FF2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14:paraId="3BE6CF97" w14:textId="2D763E7B" w:rsidR="000B06AD" w:rsidRPr="002D64A8" w:rsidRDefault="000B06AD" w:rsidP="00AE3FF2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Fabrycznie now</w:t>
            </w:r>
            <w:r w:rsidR="00890004" w:rsidRPr="002D64A8">
              <w:rPr>
                <w:rFonts w:cstheme="minorHAnsi"/>
                <w:color w:val="000000" w:themeColor="text1"/>
                <w:sz w:val="22"/>
                <w:szCs w:val="22"/>
              </w:rPr>
              <w:t>y</w:t>
            </w: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 xml:space="preserve">, </w:t>
            </w:r>
            <w:r w:rsidR="002D64A8" w:rsidRPr="002D64A8">
              <w:rPr>
                <w:rFonts w:cstheme="minorHAnsi"/>
                <w:color w:val="000000" w:themeColor="text1"/>
                <w:sz w:val="22"/>
                <w:szCs w:val="22"/>
              </w:rPr>
              <w:t>rok produkcji nie starszy niż 2024</w:t>
            </w:r>
          </w:p>
        </w:tc>
        <w:tc>
          <w:tcPr>
            <w:tcW w:w="1701" w:type="dxa"/>
          </w:tcPr>
          <w:p w14:paraId="20B6A408" w14:textId="0712557A" w:rsidR="000B06AD" w:rsidRPr="002D64A8" w:rsidRDefault="000B06AD" w:rsidP="00AE3FF2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19BF8806" w14:textId="7857BCE1" w:rsidR="000B06AD" w:rsidRPr="002D64A8" w:rsidRDefault="000B06AD" w:rsidP="00AE3FF2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E3FF2" w:rsidRPr="002D64A8" w14:paraId="656BE409" w14:textId="77777777" w:rsidTr="001E1B9B">
        <w:tc>
          <w:tcPr>
            <w:tcW w:w="562" w:type="dxa"/>
          </w:tcPr>
          <w:p w14:paraId="570CD748" w14:textId="639FDF02" w:rsidR="00AE3FF2" w:rsidRPr="002D64A8" w:rsidRDefault="006A52FB" w:rsidP="00AE3FF2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14:paraId="6B3CDE11" w14:textId="77777777" w:rsidR="0002653A" w:rsidRPr="002D64A8" w:rsidRDefault="0002653A" w:rsidP="0002653A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Całkowita długość stołu bez sekcji głowy i</w:t>
            </w:r>
          </w:p>
          <w:p w14:paraId="22ABBB1A" w14:textId="44B0E0C5" w:rsidR="00AE3FF2" w:rsidRPr="002D64A8" w:rsidRDefault="0002653A" w:rsidP="0002653A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nóg max 1,140 mm</w:t>
            </w:r>
          </w:p>
        </w:tc>
        <w:tc>
          <w:tcPr>
            <w:tcW w:w="1701" w:type="dxa"/>
          </w:tcPr>
          <w:p w14:paraId="31359509" w14:textId="6ACC34BF" w:rsidR="00AE3FF2" w:rsidRPr="002D64A8" w:rsidRDefault="000B06AD" w:rsidP="00AE3FF2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6FA343C6" w14:textId="58F5ED03" w:rsidR="00AE3FF2" w:rsidRPr="002D64A8" w:rsidRDefault="00AE3FF2" w:rsidP="00AE3FF2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E3FF2" w:rsidRPr="002D64A8" w14:paraId="568D10F6" w14:textId="77777777" w:rsidTr="001E1B9B">
        <w:tc>
          <w:tcPr>
            <w:tcW w:w="562" w:type="dxa"/>
          </w:tcPr>
          <w:p w14:paraId="771816B1" w14:textId="073B37CE" w:rsidR="00AE3FF2" w:rsidRPr="002D64A8" w:rsidRDefault="006A52FB" w:rsidP="00AE3FF2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14:paraId="7338098B" w14:textId="77777777" w:rsidR="0002653A" w:rsidRPr="002D64A8" w:rsidRDefault="0002653A" w:rsidP="0002653A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Całkowita długość stołu bez sekcji głowy ale</w:t>
            </w:r>
          </w:p>
          <w:p w14:paraId="722B73F1" w14:textId="377A9D05" w:rsidR="00AE3FF2" w:rsidRPr="002D64A8" w:rsidRDefault="0002653A" w:rsidP="0002653A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z sekcją nóg min 1,780 mm</w:t>
            </w:r>
          </w:p>
        </w:tc>
        <w:tc>
          <w:tcPr>
            <w:tcW w:w="1701" w:type="dxa"/>
          </w:tcPr>
          <w:p w14:paraId="080BD745" w14:textId="59DD8AC5" w:rsidR="00AE3FF2" w:rsidRPr="002D64A8" w:rsidRDefault="000B06AD" w:rsidP="00AE3FF2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494E2923" w14:textId="6D926DDE" w:rsidR="00AE3FF2" w:rsidRPr="002D64A8" w:rsidRDefault="00AE3FF2" w:rsidP="00AE3FF2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E3FF2" w:rsidRPr="002D64A8" w14:paraId="2C10AA3C" w14:textId="77777777" w:rsidTr="001E1B9B">
        <w:tc>
          <w:tcPr>
            <w:tcW w:w="562" w:type="dxa"/>
          </w:tcPr>
          <w:p w14:paraId="7CD080C2" w14:textId="05D898C8" w:rsidR="00AE3FF2" w:rsidRPr="002D64A8" w:rsidRDefault="006A52FB" w:rsidP="00AE3FF2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14:paraId="5DFD0198" w14:textId="77777777" w:rsidR="0002653A" w:rsidRPr="002D64A8" w:rsidRDefault="0002653A" w:rsidP="0002653A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Całkowita długość stołu łącznie z sekcją</w:t>
            </w:r>
          </w:p>
          <w:p w14:paraId="65E8990C" w14:textId="2B2CF01A" w:rsidR="00AE3FF2" w:rsidRPr="002D64A8" w:rsidRDefault="0002653A" w:rsidP="0002653A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głowy i nóg min 2,130 mm</w:t>
            </w:r>
          </w:p>
        </w:tc>
        <w:tc>
          <w:tcPr>
            <w:tcW w:w="1701" w:type="dxa"/>
          </w:tcPr>
          <w:p w14:paraId="274443E4" w14:textId="229271D9" w:rsidR="00AE3FF2" w:rsidRPr="002D64A8" w:rsidRDefault="000B06AD" w:rsidP="00AE3FF2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00ED5634" w14:textId="258DDF6D" w:rsidR="00AE3FF2" w:rsidRPr="002D64A8" w:rsidRDefault="00AE3FF2" w:rsidP="00AE3FF2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22ABA7BB" w14:textId="77777777" w:rsidTr="001E1B9B">
        <w:tc>
          <w:tcPr>
            <w:tcW w:w="562" w:type="dxa"/>
          </w:tcPr>
          <w:p w14:paraId="165F931F" w14:textId="6169D3F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5</w:t>
            </w:r>
          </w:p>
        </w:tc>
        <w:tc>
          <w:tcPr>
            <w:tcW w:w="4111" w:type="dxa"/>
          </w:tcPr>
          <w:p w14:paraId="6B9BCAA3" w14:textId="4F18155D" w:rsidR="007B0745" w:rsidRPr="002D64A8" w:rsidRDefault="007B0745" w:rsidP="007B0745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Szerokość leża 540 mm</w:t>
            </w:r>
          </w:p>
        </w:tc>
        <w:tc>
          <w:tcPr>
            <w:tcW w:w="1701" w:type="dxa"/>
          </w:tcPr>
          <w:p w14:paraId="52B9C484" w14:textId="0FDEB96D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3BB4D066" w14:textId="2CAB7368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26D1CDF3" w14:textId="77777777" w:rsidTr="001E1B9B">
        <w:tc>
          <w:tcPr>
            <w:tcW w:w="562" w:type="dxa"/>
          </w:tcPr>
          <w:p w14:paraId="2E4E8022" w14:textId="33F4D9F5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14:paraId="149671F8" w14:textId="4EC33B30" w:rsidR="007B0745" w:rsidRPr="002D64A8" w:rsidRDefault="007B0745" w:rsidP="007B0745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Szerokość całkowita 590 mm</w:t>
            </w:r>
          </w:p>
        </w:tc>
        <w:tc>
          <w:tcPr>
            <w:tcW w:w="1701" w:type="dxa"/>
          </w:tcPr>
          <w:p w14:paraId="6A9EF3DC" w14:textId="5353945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6EFE24AC" w14:textId="487714F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30951338" w14:textId="77777777" w:rsidTr="001E1B9B">
        <w:tc>
          <w:tcPr>
            <w:tcW w:w="562" w:type="dxa"/>
          </w:tcPr>
          <w:p w14:paraId="59D6B9AB" w14:textId="535A6D2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14:paraId="1D9DBF86" w14:textId="14E47998" w:rsidR="007B0745" w:rsidRPr="002D64A8" w:rsidRDefault="007B0745" w:rsidP="007B0745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Średnica kół podwójnych max 125 mm</w:t>
            </w:r>
          </w:p>
        </w:tc>
        <w:tc>
          <w:tcPr>
            <w:tcW w:w="1701" w:type="dxa"/>
          </w:tcPr>
          <w:p w14:paraId="47C92875" w14:textId="3F2843E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0B21F3DD" w14:textId="1B6C9D8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3F937E32" w14:textId="77777777" w:rsidTr="001E1B9B">
        <w:tc>
          <w:tcPr>
            <w:tcW w:w="562" w:type="dxa"/>
          </w:tcPr>
          <w:p w14:paraId="620F0C14" w14:textId="4F1B94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8</w:t>
            </w:r>
          </w:p>
        </w:tc>
        <w:tc>
          <w:tcPr>
            <w:tcW w:w="4111" w:type="dxa"/>
          </w:tcPr>
          <w:p w14:paraId="764F5911" w14:textId="69158755" w:rsidR="007B0745" w:rsidRPr="002D64A8" w:rsidRDefault="007B0745" w:rsidP="007B0745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Zakres zmiany wysokości 740–1,100 mm +/-200</w:t>
            </w:r>
          </w:p>
        </w:tc>
        <w:tc>
          <w:tcPr>
            <w:tcW w:w="1701" w:type="dxa"/>
          </w:tcPr>
          <w:p w14:paraId="5D18E067" w14:textId="1CA15F16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1E65B9BE" w14:textId="30E319C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0A6551AD" w14:textId="77777777" w:rsidTr="001E1B9B">
        <w:tc>
          <w:tcPr>
            <w:tcW w:w="562" w:type="dxa"/>
          </w:tcPr>
          <w:p w14:paraId="185D2BA5" w14:textId="701B84C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9</w:t>
            </w:r>
          </w:p>
        </w:tc>
        <w:tc>
          <w:tcPr>
            <w:tcW w:w="4111" w:type="dxa"/>
          </w:tcPr>
          <w:p w14:paraId="436819C8" w14:textId="004852D2" w:rsidR="007B0745" w:rsidRPr="002D64A8" w:rsidRDefault="007B0745" w:rsidP="007B0745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Trendelenburg</w:t>
            </w:r>
            <w:proofErr w:type="spellEnd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 xml:space="preserve">  max</w:t>
            </w:r>
            <w:proofErr w:type="gramEnd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 xml:space="preserve"> 30°</w:t>
            </w:r>
          </w:p>
          <w:p w14:paraId="4960067F" w14:textId="51A9470A" w:rsidR="007B0745" w:rsidRPr="002D64A8" w:rsidRDefault="007B0745" w:rsidP="007B0745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anty-</w:t>
            </w:r>
            <w:proofErr w:type="spellStart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Trendelenburg</w:t>
            </w:r>
            <w:proofErr w:type="spellEnd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max  30</w:t>
            </w:r>
            <w:proofErr w:type="gramEnd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 xml:space="preserve">° </w:t>
            </w:r>
          </w:p>
        </w:tc>
        <w:tc>
          <w:tcPr>
            <w:tcW w:w="1701" w:type="dxa"/>
          </w:tcPr>
          <w:p w14:paraId="03E620C3" w14:textId="24796A1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2E839E86" w14:textId="1361D9A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4DBB5B94" w14:textId="77777777" w:rsidTr="001E1B9B">
        <w:tc>
          <w:tcPr>
            <w:tcW w:w="562" w:type="dxa"/>
          </w:tcPr>
          <w:p w14:paraId="6BFB08E6" w14:textId="7CADCE33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10</w:t>
            </w:r>
          </w:p>
        </w:tc>
        <w:tc>
          <w:tcPr>
            <w:tcW w:w="4111" w:type="dxa"/>
          </w:tcPr>
          <w:p w14:paraId="18916275" w14:textId="4F04E199" w:rsidR="007B0745" w:rsidRPr="002D64A8" w:rsidRDefault="007B0745" w:rsidP="007B0745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Przechył boczny (L/P)  min +/–20°</w:t>
            </w:r>
          </w:p>
        </w:tc>
        <w:tc>
          <w:tcPr>
            <w:tcW w:w="1701" w:type="dxa"/>
          </w:tcPr>
          <w:p w14:paraId="1C7AE292" w14:textId="6ACD1FD3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3152BA21" w14:textId="2BE822D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0ADB6AD2" w14:textId="77777777" w:rsidTr="001E1B9B">
        <w:tc>
          <w:tcPr>
            <w:tcW w:w="562" w:type="dxa"/>
          </w:tcPr>
          <w:p w14:paraId="27B52392" w14:textId="69900979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11</w:t>
            </w:r>
          </w:p>
        </w:tc>
        <w:tc>
          <w:tcPr>
            <w:tcW w:w="4111" w:type="dxa"/>
          </w:tcPr>
          <w:p w14:paraId="6B22539B" w14:textId="7BC6F1F1" w:rsidR="007B0745" w:rsidRPr="002D64A8" w:rsidRDefault="007B0745" w:rsidP="007B0745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 xml:space="preserve">Przesuw </w:t>
            </w:r>
            <w:proofErr w:type="gramStart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wzdłużny  min</w:t>
            </w:r>
            <w:proofErr w:type="gramEnd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 xml:space="preserve"> 250 mm</w:t>
            </w:r>
          </w:p>
        </w:tc>
        <w:tc>
          <w:tcPr>
            <w:tcW w:w="1701" w:type="dxa"/>
          </w:tcPr>
          <w:p w14:paraId="1EEE4AA9" w14:textId="54DE756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36B2F7DB" w14:textId="038CF13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627C9B90" w14:textId="77777777" w:rsidTr="001E1B9B">
        <w:tc>
          <w:tcPr>
            <w:tcW w:w="562" w:type="dxa"/>
          </w:tcPr>
          <w:p w14:paraId="28E09B38" w14:textId="037B0976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12</w:t>
            </w:r>
          </w:p>
        </w:tc>
        <w:tc>
          <w:tcPr>
            <w:tcW w:w="4111" w:type="dxa"/>
          </w:tcPr>
          <w:p w14:paraId="4BAF8397" w14:textId="079D9E62" w:rsidR="007B0745" w:rsidRPr="002D64A8" w:rsidRDefault="007B0745" w:rsidP="007B0745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 xml:space="preserve">Nachylenie oparcia </w:t>
            </w:r>
            <w:proofErr w:type="gramStart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pleców  max</w:t>
            </w:r>
            <w:proofErr w:type="gramEnd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 xml:space="preserve"> +70 /–50°</w:t>
            </w:r>
          </w:p>
        </w:tc>
        <w:tc>
          <w:tcPr>
            <w:tcW w:w="1701" w:type="dxa"/>
          </w:tcPr>
          <w:p w14:paraId="2758264D" w14:textId="19CB5B2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7BC227C5" w14:textId="510E886C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3E7650DC" w14:textId="77777777" w:rsidTr="001E1B9B">
        <w:tc>
          <w:tcPr>
            <w:tcW w:w="562" w:type="dxa"/>
          </w:tcPr>
          <w:p w14:paraId="6168CBD6" w14:textId="3D4B2B08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13</w:t>
            </w:r>
          </w:p>
        </w:tc>
        <w:tc>
          <w:tcPr>
            <w:tcW w:w="4111" w:type="dxa"/>
          </w:tcPr>
          <w:p w14:paraId="0C60B97F" w14:textId="51922E6B" w:rsidR="007B0745" w:rsidRPr="002D64A8" w:rsidRDefault="007B0745" w:rsidP="007B0745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Nachylanie podnóżków min +20 /–90°</w:t>
            </w:r>
          </w:p>
        </w:tc>
        <w:tc>
          <w:tcPr>
            <w:tcW w:w="1701" w:type="dxa"/>
          </w:tcPr>
          <w:p w14:paraId="75B8EE10" w14:textId="7986767C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5291CD1A" w14:textId="35946EF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0FC765FA" w14:textId="77777777" w:rsidTr="001E1B9B">
        <w:tc>
          <w:tcPr>
            <w:tcW w:w="562" w:type="dxa"/>
          </w:tcPr>
          <w:p w14:paraId="5C08EFC5" w14:textId="3A25A0A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14</w:t>
            </w:r>
          </w:p>
        </w:tc>
        <w:tc>
          <w:tcPr>
            <w:tcW w:w="4111" w:type="dxa"/>
          </w:tcPr>
          <w:p w14:paraId="5DE34F54" w14:textId="494556E0" w:rsidR="007B0745" w:rsidRPr="002D64A8" w:rsidRDefault="007B0745" w:rsidP="007B0745">
            <w:pPr>
              <w:suppressAutoHyphens/>
              <w:autoSpaceDN w:val="0"/>
              <w:textAlignment w:val="baseline"/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</w:pPr>
            <w:r w:rsidRPr="002D64A8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 xml:space="preserve">Kąt rozwarcia </w:t>
            </w:r>
            <w:proofErr w:type="spellStart"/>
            <w:proofErr w:type="gramStart"/>
            <w:r w:rsidRPr="002D64A8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>podnóżkow</w:t>
            </w:r>
            <w:proofErr w:type="spellEnd"/>
            <w:r w:rsidRPr="002D64A8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 xml:space="preserve">  min</w:t>
            </w:r>
            <w:proofErr w:type="gramEnd"/>
            <w:r w:rsidRPr="002D64A8">
              <w:rPr>
                <w:rFonts w:eastAsia="Times New Roman" w:cstheme="minorHAnsi"/>
                <w:color w:val="000000" w:themeColor="text1"/>
                <w:kern w:val="0"/>
                <w:sz w:val="22"/>
                <w:szCs w:val="22"/>
                <w:lang w:eastAsia="pl-PL"/>
                <w14:ligatures w14:val="none"/>
              </w:rPr>
              <w:t xml:space="preserve"> 55°</w:t>
            </w:r>
          </w:p>
        </w:tc>
        <w:tc>
          <w:tcPr>
            <w:tcW w:w="1701" w:type="dxa"/>
          </w:tcPr>
          <w:p w14:paraId="74671F88" w14:textId="3D291115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33319254" w14:textId="1A723B33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389214EA" w14:textId="77777777" w:rsidTr="001E1B9B">
        <w:tc>
          <w:tcPr>
            <w:tcW w:w="562" w:type="dxa"/>
          </w:tcPr>
          <w:p w14:paraId="1E9DC119" w14:textId="7DFA1675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15</w:t>
            </w:r>
          </w:p>
        </w:tc>
        <w:tc>
          <w:tcPr>
            <w:tcW w:w="4111" w:type="dxa"/>
          </w:tcPr>
          <w:p w14:paraId="2505A883" w14:textId="591B0371" w:rsidR="007B0745" w:rsidRPr="002D64A8" w:rsidRDefault="007B0745" w:rsidP="007B0745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 xml:space="preserve">Nachylenie podgłówka </w:t>
            </w:r>
            <w:proofErr w:type="gramStart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min  +</w:t>
            </w:r>
            <w:proofErr w:type="gramEnd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25 /–45°</w:t>
            </w:r>
          </w:p>
        </w:tc>
        <w:tc>
          <w:tcPr>
            <w:tcW w:w="1701" w:type="dxa"/>
          </w:tcPr>
          <w:p w14:paraId="651E678E" w14:textId="48B066F9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5A7794BE" w14:textId="2B55C6D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5238A01C" w14:textId="77777777" w:rsidTr="001E1B9B">
        <w:tc>
          <w:tcPr>
            <w:tcW w:w="562" w:type="dxa"/>
          </w:tcPr>
          <w:p w14:paraId="57393152" w14:textId="715C52B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16</w:t>
            </w:r>
          </w:p>
        </w:tc>
        <w:tc>
          <w:tcPr>
            <w:tcW w:w="4111" w:type="dxa"/>
          </w:tcPr>
          <w:p w14:paraId="4825E83C" w14:textId="574C1A90" w:rsidR="007B0745" w:rsidRPr="002D64A8" w:rsidRDefault="007B0745" w:rsidP="007B0745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 xml:space="preserve">Kąt ustawienia materaca </w:t>
            </w:r>
            <w:proofErr w:type="gramStart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podgłówka  min</w:t>
            </w:r>
            <w:proofErr w:type="gramEnd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 xml:space="preserve"> 25°</w:t>
            </w:r>
          </w:p>
        </w:tc>
        <w:tc>
          <w:tcPr>
            <w:tcW w:w="1701" w:type="dxa"/>
          </w:tcPr>
          <w:p w14:paraId="714B30A4" w14:textId="015C466E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6C960487" w14:textId="14BA834C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1E4A82C0" w14:textId="77777777" w:rsidTr="001E1B9B">
        <w:tc>
          <w:tcPr>
            <w:tcW w:w="562" w:type="dxa"/>
          </w:tcPr>
          <w:p w14:paraId="61632FC1" w14:textId="2E6076D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17</w:t>
            </w:r>
          </w:p>
        </w:tc>
        <w:tc>
          <w:tcPr>
            <w:tcW w:w="4111" w:type="dxa"/>
          </w:tcPr>
          <w:p w14:paraId="352BFA4C" w14:textId="740FE22A" w:rsidR="007B0745" w:rsidRPr="002D64A8" w:rsidRDefault="007B0745" w:rsidP="007B0745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 xml:space="preserve">Masa całkowita, łącznie z podgłówkiem i </w:t>
            </w:r>
            <w:proofErr w:type="gramStart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podnóżkami  min</w:t>
            </w:r>
            <w:proofErr w:type="gramEnd"/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 xml:space="preserve"> 225 kg</w:t>
            </w:r>
          </w:p>
        </w:tc>
        <w:tc>
          <w:tcPr>
            <w:tcW w:w="1701" w:type="dxa"/>
          </w:tcPr>
          <w:p w14:paraId="732E00C2" w14:textId="0E71A4A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TAK </w:t>
            </w:r>
          </w:p>
        </w:tc>
        <w:tc>
          <w:tcPr>
            <w:tcW w:w="2688" w:type="dxa"/>
          </w:tcPr>
          <w:p w14:paraId="46E019CC" w14:textId="524BB5E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335559BC" w14:textId="77777777" w:rsidTr="001E1B9B">
        <w:tc>
          <w:tcPr>
            <w:tcW w:w="562" w:type="dxa"/>
          </w:tcPr>
          <w:p w14:paraId="63290347" w14:textId="00683F7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18</w:t>
            </w:r>
          </w:p>
        </w:tc>
        <w:tc>
          <w:tcPr>
            <w:tcW w:w="4111" w:type="dxa"/>
          </w:tcPr>
          <w:p w14:paraId="6F6701DF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Bezpieczne obciążenie robocze (Bezpieczne</w:t>
            </w:r>
          </w:p>
          <w:p w14:paraId="376FAEDC" w14:textId="742522B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lastRenderedPageBreak/>
              <w:t xml:space="preserve">obciążenie robocze w pozycji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horizontalnej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 xml:space="preserve">) min 185 kg </w:t>
            </w:r>
          </w:p>
        </w:tc>
        <w:tc>
          <w:tcPr>
            <w:tcW w:w="1701" w:type="dxa"/>
          </w:tcPr>
          <w:p w14:paraId="5293EF42" w14:textId="590E0CCE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2688" w:type="dxa"/>
          </w:tcPr>
          <w:p w14:paraId="104E9FCE" w14:textId="3D8D4637" w:rsidR="007B0745" w:rsidRPr="002D64A8" w:rsidRDefault="007B0745" w:rsidP="007B0745">
            <w:pPr>
              <w:rPr>
                <w:rFonts w:cstheme="minorHAnsi"/>
                <w:sz w:val="22"/>
                <w:szCs w:val="22"/>
                <w:highlight w:val="yellow"/>
              </w:rPr>
            </w:pPr>
          </w:p>
        </w:tc>
      </w:tr>
      <w:tr w:rsidR="007B0745" w:rsidRPr="002D64A8" w14:paraId="238B7CA9" w14:textId="77777777" w:rsidTr="001E1B9B">
        <w:tc>
          <w:tcPr>
            <w:tcW w:w="562" w:type="dxa"/>
          </w:tcPr>
          <w:p w14:paraId="09F41B8D" w14:textId="5C2CDA3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19</w:t>
            </w:r>
          </w:p>
        </w:tc>
        <w:tc>
          <w:tcPr>
            <w:tcW w:w="4111" w:type="dxa"/>
          </w:tcPr>
          <w:p w14:paraId="74D1A62B" w14:textId="64C8F2D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Zasilanie z baterii</w:t>
            </w:r>
          </w:p>
        </w:tc>
        <w:tc>
          <w:tcPr>
            <w:tcW w:w="1701" w:type="dxa"/>
          </w:tcPr>
          <w:p w14:paraId="29E0B76F" w14:textId="7C566DB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2CE9E1E3" w14:textId="6FCB7EC6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7D4B1FA1" w14:textId="77777777" w:rsidTr="001E1B9B">
        <w:tc>
          <w:tcPr>
            <w:tcW w:w="562" w:type="dxa"/>
          </w:tcPr>
          <w:p w14:paraId="393A25E7" w14:textId="11F3276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20</w:t>
            </w:r>
          </w:p>
        </w:tc>
        <w:tc>
          <w:tcPr>
            <w:tcW w:w="4111" w:type="dxa"/>
          </w:tcPr>
          <w:p w14:paraId="06CCE5D7" w14:textId="4BAB3BE9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Zewnętrzna ładowarka akumulatorów                   min 90 – 264 V, 50 – 60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Hz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 xml:space="preserve"> lub zewnętrzna ładowarka</w:t>
            </w:r>
          </w:p>
        </w:tc>
        <w:tc>
          <w:tcPr>
            <w:tcW w:w="1701" w:type="dxa"/>
          </w:tcPr>
          <w:p w14:paraId="52A3FF5C" w14:textId="2D3C4501" w:rsidR="007B0745" w:rsidRPr="002D64A8" w:rsidRDefault="007B0745" w:rsidP="007B0745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TAK/NIE</w:t>
            </w:r>
          </w:p>
          <w:p w14:paraId="78885877" w14:textId="128C26EF" w:rsidR="007B0745" w:rsidRPr="002D64A8" w:rsidRDefault="007B0745" w:rsidP="007B0745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TAK – 5 pkt</w:t>
            </w:r>
          </w:p>
          <w:p w14:paraId="7D9A1130" w14:textId="21B6CA96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color w:val="000000" w:themeColor="text1"/>
                <w:sz w:val="22"/>
                <w:szCs w:val="22"/>
              </w:rPr>
              <w:t>NIE – 0 pkt</w:t>
            </w:r>
          </w:p>
        </w:tc>
        <w:tc>
          <w:tcPr>
            <w:tcW w:w="2688" w:type="dxa"/>
          </w:tcPr>
          <w:p w14:paraId="1A926576" w14:textId="7C2FF5ED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40C80FB9" w14:textId="77777777" w:rsidTr="00787847">
        <w:tc>
          <w:tcPr>
            <w:tcW w:w="9062" w:type="dxa"/>
            <w:gridSpan w:val="4"/>
          </w:tcPr>
          <w:p w14:paraId="53FD8AF1" w14:textId="2952F141" w:rsidR="007B0745" w:rsidRPr="002D64A8" w:rsidRDefault="007B0745" w:rsidP="007B0745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2D64A8">
              <w:rPr>
                <w:rFonts w:cstheme="minorHAnsi"/>
                <w:b/>
                <w:bCs/>
                <w:sz w:val="22"/>
                <w:szCs w:val="22"/>
              </w:rPr>
              <w:t>Elementy niezbędne do prawidłowego funkcjonowania</w:t>
            </w:r>
          </w:p>
        </w:tc>
      </w:tr>
      <w:tr w:rsidR="007B0745" w:rsidRPr="002D64A8" w14:paraId="73B12FA6" w14:textId="77777777" w:rsidTr="001E1B9B">
        <w:tc>
          <w:tcPr>
            <w:tcW w:w="562" w:type="dxa"/>
          </w:tcPr>
          <w:p w14:paraId="561013AF" w14:textId="2F375C5E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21</w:t>
            </w:r>
          </w:p>
        </w:tc>
        <w:tc>
          <w:tcPr>
            <w:tcW w:w="4111" w:type="dxa"/>
          </w:tcPr>
          <w:p w14:paraId="41CFF47E" w14:textId="05CDE9F3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Mobilny, modularny stół operacyjny z napędem elektrohydraulicznym lub elektromechanicznym</w:t>
            </w:r>
          </w:p>
        </w:tc>
        <w:tc>
          <w:tcPr>
            <w:tcW w:w="1701" w:type="dxa"/>
          </w:tcPr>
          <w:p w14:paraId="61E37065" w14:textId="2AAD621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 , podać</w:t>
            </w:r>
          </w:p>
        </w:tc>
        <w:tc>
          <w:tcPr>
            <w:tcW w:w="2688" w:type="dxa"/>
          </w:tcPr>
          <w:p w14:paraId="6D5BBEBC" w14:textId="6CCB671D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71C571BA" w14:textId="77777777" w:rsidTr="001E1B9B">
        <w:tc>
          <w:tcPr>
            <w:tcW w:w="562" w:type="dxa"/>
          </w:tcPr>
          <w:p w14:paraId="060AC8B9" w14:textId="062129E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22</w:t>
            </w:r>
          </w:p>
        </w:tc>
        <w:tc>
          <w:tcPr>
            <w:tcW w:w="4111" w:type="dxa"/>
          </w:tcPr>
          <w:p w14:paraId="66C31D13" w14:textId="1B35E47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Stół operacyjny przezierny dla promieni RTG</w:t>
            </w:r>
          </w:p>
        </w:tc>
        <w:tc>
          <w:tcPr>
            <w:tcW w:w="1701" w:type="dxa"/>
          </w:tcPr>
          <w:p w14:paraId="663F40C2" w14:textId="1053D683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 , podać</w:t>
            </w:r>
          </w:p>
        </w:tc>
        <w:tc>
          <w:tcPr>
            <w:tcW w:w="2688" w:type="dxa"/>
          </w:tcPr>
          <w:p w14:paraId="23A45108" w14:textId="523FC709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25835886" w14:textId="77777777" w:rsidTr="001E1B9B">
        <w:tc>
          <w:tcPr>
            <w:tcW w:w="562" w:type="dxa"/>
          </w:tcPr>
          <w:p w14:paraId="6F7DEF29" w14:textId="46CADE79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23</w:t>
            </w:r>
          </w:p>
        </w:tc>
        <w:tc>
          <w:tcPr>
            <w:tcW w:w="4111" w:type="dxa"/>
          </w:tcPr>
          <w:p w14:paraId="4D4CDB79" w14:textId="37CA02C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Pozioma podstawa stołu pokryta obudową ze stali nierdzewnej</w:t>
            </w:r>
          </w:p>
        </w:tc>
        <w:tc>
          <w:tcPr>
            <w:tcW w:w="1701" w:type="dxa"/>
          </w:tcPr>
          <w:p w14:paraId="188C9A3C" w14:textId="5AB3AC0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 , podać</w:t>
            </w:r>
          </w:p>
        </w:tc>
        <w:tc>
          <w:tcPr>
            <w:tcW w:w="2688" w:type="dxa"/>
          </w:tcPr>
          <w:p w14:paraId="6505AB23" w14:textId="73C375B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34E9AA4D" w14:textId="77777777" w:rsidTr="001E1B9B">
        <w:tc>
          <w:tcPr>
            <w:tcW w:w="562" w:type="dxa"/>
          </w:tcPr>
          <w:p w14:paraId="3AE7DB5B" w14:textId="0AFCAAD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24</w:t>
            </w:r>
          </w:p>
        </w:tc>
        <w:tc>
          <w:tcPr>
            <w:tcW w:w="4111" w:type="dxa"/>
          </w:tcPr>
          <w:p w14:paraId="6BD70141" w14:textId="25B52E1E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Konstrukcja stołu wykonana z materiałów nierdzewnych.</w:t>
            </w:r>
          </w:p>
        </w:tc>
        <w:tc>
          <w:tcPr>
            <w:tcW w:w="1701" w:type="dxa"/>
          </w:tcPr>
          <w:p w14:paraId="32581A98" w14:textId="1BBBC438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 , podać</w:t>
            </w:r>
          </w:p>
        </w:tc>
        <w:tc>
          <w:tcPr>
            <w:tcW w:w="2688" w:type="dxa"/>
          </w:tcPr>
          <w:p w14:paraId="7900F5FC" w14:textId="2C87D85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3C75FFE4" w14:textId="77777777" w:rsidTr="001E1B9B">
        <w:tc>
          <w:tcPr>
            <w:tcW w:w="562" w:type="dxa"/>
          </w:tcPr>
          <w:p w14:paraId="0337193A" w14:textId="555454C5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25</w:t>
            </w:r>
          </w:p>
        </w:tc>
        <w:tc>
          <w:tcPr>
            <w:tcW w:w="4111" w:type="dxa"/>
          </w:tcPr>
          <w:p w14:paraId="73CF83F5" w14:textId="6953585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Kolumna wyposażona w min. dwa gniazda do podłączenia pilota kablowego – od strony nóg i od strony głowy pacjenta – możliwość podłączenia sterownika nożnego zamiast pilota kablowego ręcznego</w:t>
            </w:r>
          </w:p>
        </w:tc>
        <w:tc>
          <w:tcPr>
            <w:tcW w:w="1701" w:type="dxa"/>
          </w:tcPr>
          <w:p w14:paraId="7B064F8E" w14:textId="70238D85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 , podać</w:t>
            </w:r>
          </w:p>
        </w:tc>
        <w:tc>
          <w:tcPr>
            <w:tcW w:w="2688" w:type="dxa"/>
          </w:tcPr>
          <w:p w14:paraId="3C26ED9A" w14:textId="7282E91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5160E1DD" w14:textId="77777777" w:rsidTr="001E1B9B">
        <w:tc>
          <w:tcPr>
            <w:tcW w:w="562" w:type="dxa"/>
          </w:tcPr>
          <w:p w14:paraId="6FD4F3A9" w14:textId="2FA42C2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26</w:t>
            </w:r>
          </w:p>
        </w:tc>
        <w:tc>
          <w:tcPr>
            <w:tcW w:w="4111" w:type="dxa"/>
          </w:tcPr>
          <w:p w14:paraId="2F5E1620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Podstawa jezdna wyposażona w cztery podwójne koła. Wszystkie koła skrętne umożliwiające jazdę w dowolnym kierunku.</w:t>
            </w:r>
          </w:p>
          <w:p w14:paraId="57949DF8" w14:textId="478389E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Koła zabudowane lub niezabudowane w podstawie jezdnej, niewystające poza podstawę stołu podczas zabiegu.</w:t>
            </w:r>
          </w:p>
        </w:tc>
        <w:tc>
          <w:tcPr>
            <w:tcW w:w="1701" w:type="dxa"/>
          </w:tcPr>
          <w:p w14:paraId="59898094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  <w:p w14:paraId="0B1695FF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Parametr oceniany </w:t>
            </w:r>
          </w:p>
          <w:p w14:paraId="7C84FE26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Koła zabudowane – 5 pkt</w:t>
            </w:r>
          </w:p>
          <w:p w14:paraId="7B7D0B6E" w14:textId="1516DF95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Koła niezabudowane – 0 pkt.</w:t>
            </w:r>
          </w:p>
        </w:tc>
        <w:tc>
          <w:tcPr>
            <w:tcW w:w="2688" w:type="dxa"/>
          </w:tcPr>
          <w:p w14:paraId="072C8116" w14:textId="23357B7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0443015E" w14:textId="77777777" w:rsidTr="001E1B9B">
        <w:tc>
          <w:tcPr>
            <w:tcW w:w="562" w:type="dxa"/>
          </w:tcPr>
          <w:p w14:paraId="0CC5AFF5" w14:textId="354DB72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27</w:t>
            </w:r>
          </w:p>
        </w:tc>
        <w:tc>
          <w:tcPr>
            <w:tcW w:w="4111" w:type="dxa"/>
          </w:tcPr>
          <w:p w14:paraId="5BC1C951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System blokowania kół obsługiwany za pomocą pilota i panelu awaryjnego sterowania. </w:t>
            </w:r>
          </w:p>
          <w:p w14:paraId="16FC0739" w14:textId="345521E3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Stół na czas zabiegu posadowiony na podłodze poprzez schowanie kół w podstawę stołu lub przez wysuwane nogi z systemem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autokompensacji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 xml:space="preserve"> nierówności podłoża min. 8mm.</w:t>
            </w:r>
          </w:p>
        </w:tc>
        <w:tc>
          <w:tcPr>
            <w:tcW w:w="1701" w:type="dxa"/>
          </w:tcPr>
          <w:p w14:paraId="3EC2C00E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</w:t>
            </w:r>
          </w:p>
          <w:p w14:paraId="67B000CB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Parametr oceniany</w:t>
            </w:r>
          </w:p>
          <w:p w14:paraId="758DF387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Koła chowane w podstawę stołu – 5 pkt. </w:t>
            </w:r>
          </w:p>
          <w:p w14:paraId="5DADD88B" w14:textId="61C488E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wysuwane nogi z systemem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autokompensacji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 xml:space="preserve"> – 0 pkt</w:t>
            </w:r>
          </w:p>
        </w:tc>
        <w:tc>
          <w:tcPr>
            <w:tcW w:w="2688" w:type="dxa"/>
          </w:tcPr>
          <w:p w14:paraId="7159273B" w14:textId="55CD4E3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7199371A" w14:textId="77777777" w:rsidTr="001E1B9B">
        <w:tc>
          <w:tcPr>
            <w:tcW w:w="562" w:type="dxa"/>
          </w:tcPr>
          <w:p w14:paraId="19981B3D" w14:textId="657B283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28</w:t>
            </w:r>
          </w:p>
        </w:tc>
        <w:tc>
          <w:tcPr>
            <w:tcW w:w="4111" w:type="dxa"/>
          </w:tcPr>
          <w:p w14:paraId="7B59AD73" w14:textId="01FE192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Stół wyposażony w funkcję jazdy realizowaną za pomocą dodatkowego (wysuwanego z podstawy) koła z napędem elektrycznym, sterowanie funkcją jazdy stołu do przodu i do tyłu za pomocą min. pilota kablowego.</w:t>
            </w:r>
          </w:p>
        </w:tc>
        <w:tc>
          <w:tcPr>
            <w:tcW w:w="1701" w:type="dxa"/>
          </w:tcPr>
          <w:p w14:paraId="3A60211E" w14:textId="513FED0D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 , podać</w:t>
            </w:r>
          </w:p>
        </w:tc>
        <w:tc>
          <w:tcPr>
            <w:tcW w:w="2688" w:type="dxa"/>
          </w:tcPr>
          <w:p w14:paraId="14E35DFC" w14:textId="1E9193F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7917D8E4" w14:textId="77777777" w:rsidTr="001E1B9B">
        <w:tc>
          <w:tcPr>
            <w:tcW w:w="562" w:type="dxa"/>
          </w:tcPr>
          <w:p w14:paraId="1DE3E73E" w14:textId="74465E8D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29</w:t>
            </w:r>
          </w:p>
        </w:tc>
        <w:tc>
          <w:tcPr>
            <w:tcW w:w="4111" w:type="dxa"/>
          </w:tcPr>
          <w:p w14:paraId="4B2B06AC" w14:textId="7920CD0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Możliwość rozbudowy w przyszłości o sterowanie funkcją jazdy stołu do przodu i w tył za pomocą manetki z regulacją </w:t>
            </w:r>
            <w:r w:rsidRPr="002D64A8">
              <w:rPr>
                <w:rFonts w:cstheme="minorHAnsi"/>
                <w:sz w:val="22"/>
                <w:szCs w:val="22"/>
              </w:rPr>
              <w:lastRenderedPageBreak/>
              <w:t>prędkości, manetka mocowana do szyny bocznej stołu. Manetka lub drążek manetki winny posiadać przyciski umożliwiające sterowanie stołem w zakresie blokowania i odblokowywania kół, regulacji pochyleń wzdłużnych blatu, regulacji wysokości blatu. Manetka umożliwiająca jazdę i sterowanie w/w ruchami stołu bez konieczności wykorzystywania pilota stołu – działająca niezależnie od pilota.</w:t>
            </w:r>
          </w:p>
        </w:tc>
        <w:tc>
          <w:tcPr>
            <w:tcW w:w="1701" w:type="dxa"/>
          </w:tcPr>
          <w:p w14:paraId="756689F4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lastRenderedPageBreak/>
              <w:t>TAK/NIE</w:t>
            </w:r>
          </w:p>
          <w:p w14:paraId="79C74B0D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Parametr oceniany</w:t>
            </w:r>
          </w:p>
          <w:p w14:paraId="6D9723D6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lastRenderedPageBreak/>
              <w:t>TAK – 10 pkt</w:t>
            </w:r>
          </w:p>
          <w:p w14:paraId="4CABC375" w14:textId="5A46BB28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NIE- 0 pkt</w:t>
            </w:r>
          </w:p>
        </w:tc>
        <w:tc>
          <w:tcPr>
            <w:tcW w:w="2688" w:type="dxa"/>
          </w:tcPr>
          <w:p w14:paraId="74764A93" w14:textId="51E536E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1C9F1592" w14:textId="77777777" w:rsidTr="001E1B9B">
        <w:tc>
          <w:tcPr>
            <w:tcW w:w="562" w:type="dxa"/>
          </w:tcPr>
          <w:p w14:paraId="22E8ADD2" w14:textId="03EFBD6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30</w:t>
            </w:r>
          </w:p>
        </w:tc>
        <w:tc>
          <w:tcPr>
            <w:tcW w:w="4111" w:type="dxa"/>
          </w:tcPr>
          <w:p w14:paraId="2F342660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Blat stołu złożony z minimum następujących segmentów:</w:t>
            </w:r>
          </w:p>
          <w:p w14:paraId="19910455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- Podgłówek </w:t>
            </w:r>
          </w:p>
          <w:p w14:paraId="291200D9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- Górna płyta plecowa odejmowalna</w:t>
            </w:r>
          </w:p>
          <w:p w14:paraId="6A395515" w14:textId="3B4E10F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- Płyta plecowa</w:t>
            </w:r>
          </w:p>
          <w:p w14:paraId="3481EC62" w14:textId="5A90340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- Segment siedziska</w:t>
            </w:r>
          </w:p>
          <w:p w14:paraId="53612907" w14:textId="2721180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- Podnóżki, czterodzielne z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możliwościa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 xml:space="preserve"> łamania pod kolanem; możliwość uzyskania pozycji kolankowo-łokciowej</w:t>
            </w:r>
          </w:p>
        </w:tc>
        <w:tc>
          <w:tcPr>
            <w:tcW w:w="1701" w:type="dxa"/>
          </w:tcPr>
          <w:p w14:paraId="516FE648" w14:textId="44F41D9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4CE231D8" w14:textId="6178182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2DDA99D7" w14:textId="77777777" w:rsidTr="001E1B9B">
        <w:tc>
          <w:tcPr>
            <w:tcW w:w="562" w:type="dxa"/>
          </w:tcPr>
          <w:p w14:paraId="1E0B3D4F" w14:textId="14D6B06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31</w:t>
            </w:r>
          </w:p>
        </w:tc>
        <w:tc>
          <w:tcPr>
            <w:tcW w:w="4111" w:type="dxa"/>
          </w:tcPr>
          <w:p w14:paraId="01580D42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Płyta plecowa górna </w:t>
            </w:r>
            <w:proofErr w:type="gramStart"/>
            <w:r w:rsidRPr="002D64A8">
              <w:rPr>
                <w:rFonts w:cstheme="minorHAnsi"/>
                <w:sz w:val="22"/>
                <w:szCs w:val="22"/>
              </w:rPr>
              <w:t>podgłówek  oraz</w:t>
            </w:r>
            <w:proofErr w:type="gramEnd"/>
            <w:r w:rsidRPr="002D64A8">
              <w:rPr>
                <w:rFonts w:cstheme="minorHAnsi"/>
                <w:sz w:val="22"/>
                <w:szCs w:val="22"/>
              </w:rPr>
              <w:t xml:space="preserve"> segment nożny łączone z blatem za pomocą gniazda wpustowego („bolec - okrągły otwór”), bez dodatkowych manipulacji w innych płaszczyznach i zabezpieczeń śrubowych. Wyjątkiem może być mocowanie podgłówka. Jedno kliknięcie po prostym osadzeniu w gnieździe ma stanowić bezpieczne połączenie elementów </w:t>
            </w:r>
          </w:p>
          <w:p w14:paraId="2A015446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lub</w:t>
            </w:r>
          </w:p>
          <w:p w14:paraId="303BCD2D" w14:textId="100ADD39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Płyta plecowa górna, </w:t>
            </w:r>
            <w:proofErr w:type="gramStart"/>
            <w:r w:rsidRPr="002D64A8">
              <w:rPr>
                <w:rFonts w:cstheme="minorHAnsi"/>
                <w:sz w:val="22"/>
                <w:szCs w:val="22"/>
              </w:rPr>
              <w:t>podgłówek  oraz</w:t>
            </w:r>
            <w:proofErr w:type="gramEnd"/>
            <w:r w:rsidRPr="002D64A8">
              <w:rPr>
                <w:rFonts w:cstheme="minorHAnsi"/>
                <w:sz w:val="22"/>
                <w:szCs w:val="22"/>
              </w:rPr>
              <w:t xml:space="preserve"> segment nożny łączone z blatem za pomocą systemu hakowego</w:t>
            </w:r>
          </w:p>
        </w:tc>
        <w:tc>
          <w:tcPr>
            <w:tcW w:w="1701" w:type="dxa"/>
          </w:tcPr>
          <w:p w14:paraId="158B2572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  <w:p w14:paraId="162844FB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segmenty łączone za pomocą gniazda wpustowego – 10 pkt.</w:t>
            </w:r>
          </w:p>
          <w:p w14:paraId="21EB1E5D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  <w:p w14:paraId="013B0A26" w14:textId="53F88CB5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segmenty łączone za pomocą systemu hakowego – 0 pkt.</w:t>
            </w:r>
          </w:p>
        </w:tc>
        <w:tc>
          <w:tcPr>
            <w:tcW w:w="2688" w:type="dxa"/>
          </w:tcPr>
          <w:p w14:paraId="5100FC44" w14:textId="5743810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5C759F07" w14:textId="77777777" w:rsidTr="001E1B9B">
        <w:tc>
          <w:tcPr>
            <w:tcW w:w="562" w:type="dxa"/>
          </w:tcPr>
          <w:p w14:paraId="364CA9F1" w14:textId="40212C1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32</w:t>
            </w:r>
          </w:p>
        </w:tc>
        <w:tc>
          <w:tcPr>
            <w:tcW w:w="4111" w:type="dxa"/>
          </w:tcPr>
          <w:p w14:paraId="058F9FE3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Elektrohydrauliczne sterowanie za pomocą przewodowego i bezprzewodowego pilota sterującego co najmniej takich funkcji stołu jak:</w:t>
            </w:r>
          </w:p>
          <w:p w14:paraId="71F58D25" w14:textId="4BA88DD6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- Wysokość blatu w zakresie: min. (740 mm-1100mm) +/- 200  (wysokość mierzona do górnej blatu bez materacy – blat w pozycji horyzontalnej)</w:t>
            </w:r>
          </w:p>
          <w:p w14:paraId="7434C1CB" w14:textId="59D7FAE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- Regulacja pozycji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Trendelenburga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 xml:space="preserve"> / anty-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Trendelenburga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 xml:space="preserve"> w zakresie : 30˚ (+/- 5˚) </w:t>
            </w:r>
          </w:p>
          <w:p w14:paraId="26FB849B" w14:textId="7FEA8279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- Regulacja przechyłów bocznych w zakresie: min. 20˚ </w:t>
            </w:r>
          </w:p>
          <w:p w14:paraId="1A1AEB87" w14:textId="0FF7686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- Regulacja dolnej płyty plecowej w zakresie min. (+70°/-40°) </w:t>
            </w:r>
          </w:p>
          <w:p w14:paraId="15CA5CE2" w14:textId="1A0116D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- Regulacja podnóżków w zakresie min. (+20°/-90°)</w:t>
            </w:r>
          </w:p>
          <w:p w14:paraId="0F59FE7B" w14:textId="2CC26D1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- Pozycja „0” za pomocą jednego przycisku. </w:t>
            </w:r>
          </w:p>
          <w:p w14:paraId="0A8466E4" w14:textId="1F9ECADE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- Pozycja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flex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 xml:space="preserve"> za pomocą jednego przycisku.</w:t>
            </w:r>
          </w:p>
          <w:p w14:paraId="146BE0C5" w14:textId="1676032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lastRenderedPageBreak/>
              <w:t xml:space="preserve">- Pozycja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reflex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 xml:space="preserve"> za pomocą jednego przycisku</w:t>
            </w:r>
          </w:p>
          <w:p w14:paraId="099A91ED" w14:textId="6F52027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- Wybór orientacji ułożenia pacjenta: pozycja normalna/odwrócona</w:t>
            </w:r>
          </w:p>
          <w:p w14:paraId="09DCF8F5" w14:textId="4FB1ABE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- Przesuw wzdłużny blatu w zakresie min. 250mm </w:t>
            </w:r>
          </w:p>
          <w:p w14:paraId="36205E6A" w14:textId="18C4509E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- Blokowanie i odblokowywanie stołu na czas zabiegu</w:t>
            </w:r>
            <w:r w:rsidRPr="002D64A8">
              <w:rPr>
                <w:rFonts w:cstheme="minorHAnsi"/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14:paraId="12D2D683" w14:textId="28AF88E8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2688" w:type="dxa"/>
          </w:tcPr>
          <w:p w14:paraId="3D7C1670" w14:textId="53B918B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12E97BEF" w14:textId="77777777" w:rsidTr="001E1B9B">
        <w:tc>
          <w:tcPr>
            <w:tcW w:w="562" w:type="dxa"/>
          </w:tcPr>
          <w:p w14:paraId="2762AF4E" w14:textId="5FDBD8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33</w:t>
            </w:r>
          </w:p>
        </w:tc>
        <w:tc>
          <w:tcPr>
            <w:tcW w:w="4111" w:type="dxa"/>
          </w:tcPr>
          <w:p w14:paraId="2C2EF838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Mechaniczne (ręczne) sterowanie takich segmentów blatu jak:</w:t>
            </w:r>
          </w:p>
          <w:p w14:paraId="20F5409B" w14:textId="124DC02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- Podgłówek w zakresie min. +25°/ -45°</w:t>
            </w:r>
          </w:p>
          <w:p w14:paraId="0FEBFC0F" w14:textId="67EFF55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- Odwodzenie podnóżków na boki; łamanie podnóżka w kolanie; możliwość demontażu części łydkowych podnóżków</w:t>
            </w:r>
          </w:p>
        </w:tc>
        <w:tc>
          <w:tcPr>
            <w:tcW w:w="1701" w:type="dxa"/>
          </w:tcPr>
          <w:p w14:paraId="6B31922E" w14:textId="25D3549C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67C1DA88" w14:textId="7EF53EE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7A854B66" w14:textId="77777777" w:rsidTr="001E1B9B">
        <w:tc>
          <w:tcPr>
            <w:tcW w:w="562" w:type="dxa"/>
          </w:tcPr>
          <w:p w14:paraId="40156BD5" w14:textId="20E477E5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34</w:t>
            </w:r>
          </w:p>
        </w:tc>
        <w:tc>
          <w:tcPr>
            <w:tcW w:w="4111" w:type="dxa"/>
          </w:tcPr>
          <w:p w14:paraId="10D69C5B" w14:textId="2EC0773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Pilot bezprzewodowy wyposażony w kolorowy ekran dotykowy  </w:t>
            </w:r>
          </w:p>
        </w:tc>
        <w:tc>
          <w:tcPr>
            <w:tcW w:w="1701" w:type="dxa"/>
          </w:tcPr>
          <w:p w14:paraId="64EA4322" w14:textId="77777777" w:rsidR="007B0745" w:rsidRPr="002D64A8" w:rsidRDefault="007B0745" w:rsidP="007B074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TAK/NIE</w:t>
            </w:r>
          </w:p>
          <w:p w14:paraId="0A1E6598" w14:textId="77777777" w:rsidR="007B0745" w:rsidRPr="002D64A8" w:rsidRDefault="007B0745" w:rsidP="007B074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Parametr oceniany</w:t>
            </w:r>
          </w:p>
          <w:p w14:paraId="4B2C1D75" w14:textId="77777777" w:rsidR="007B0745" w:rsidRPr="002D64A8" w:rsidRDefault="007B0745" w:rsidP="007B074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 – 10 pkt.</w:t>
            </w:r>
          </w:p>
          <w:p w14:paraId="1438F799" w14:textId="7672F5E8" w:rsidR="007B0745" w:rsidRPr="002D64A8" w:rsidRDefault="007B0745" w:rsidP="007B074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NIE – 0 pkt</w:t>
            </w:r>
          </w:p>
        </w:tc>
        <w:tc>
          <w:tcPr>
            <w:tcW w:w="2688" w:type="dxa"/>
          </w:tcPr>
          <w:p w14:paraId="687F6652" w14:textId="217A0BE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0FC445AE" w14:textId="77777777" w:rsidTr="001E1B9B">
        <w:tc>
          <w:tcPr>
            <w:tcW w:w="562" w:type="dxa"/>
          </w:tcPr>
          <w:p w14:paraId="078DAB48" w14:textId="3E90C5F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35</w:t>
            </w:r>
          </w:p>
        </w:tc>
        <w:tc>
          <w:tcPr>
            <w:tcW w:w="4111" w:type="dxa"/>
          </w:tcPr>
          <w:p w14:paraId="60F094D6" w14:textId="2603D13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Pilot posiadający funkcję zapamiętania min 10 pozycji blatu oraz ich wywołania w dowolnym momencie przez operatora</w:t>
            </w:r>
          </w:p>
        </w:tc>
        <w:tc>
          <w:tcPr>
            <w:tcW w:w="1701" w:type="dxa"/>
          </w:tcPr>
          <w:p w14:paraId="088AD1FA" w14:textId="6B7976EC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50A61D71" w14:textId="6226EEA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72AA4EFB" w14:textId="77777777" w:rsidTr="001E1B9B">
        <w:tc>
          <w:tcPr>
            <w:tcW w:w="562" w:type="dxa"/>
          </w:tcPr>
          <w:p w14:paraId="77B1DE94" w14:textId="6FF0277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36</w:t>
            </w:r>
          </w:p>
        </w:tc>
        <w:tc>
          <w:tcPr>
            <w:tcW w:w="4111" w:type="dxa"/>
          </w:tcPr>
          <w:p w14:paraId="7DB4C0B5" w14:textId="3AEE1BA3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Panel sterowania awaryjnego wyposażony w zabezpieczenie przed nieintencjonalnym uruchomieniem w postaci konieczności użycia jednocześnie dwóch przycisków celem aktywacji wybranej funkcji.</w:t>
            </w:r>
          </w:p>
        </w:tc>
        <w:tc>
          <w:tcPr>
            <w:tcW w:w="1701" w:type="dxa"/>
          </w:tcPr>
          <w:p w14:paraId="1A51E428" w14:textId="5060DF8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52AA8482" w14:textId="0A9FAD0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68130B8D" w14:textId="77777777" w:rsidTr="001E1B9B">
        <w:tc>
          <w:tcPr>
            <w:tcW w:w="562" w:type="dxa"/>
          </w:tcPr>
          <w:p w14:paraId="0AA4F8A2" w14:textId="7D668375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37</w:t>
            </w:r>
          </w:p>
        </w:tc>
        <w:tc>
          <w:tcPr>
            <w:tcW w:w="4111" w:type="dxa"/>
          </w:tcPr>
          <w:p w14:paraId="75E325A8" w14:textId="56291B4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Układ sterowania ruchami blatu zapewniający płynną ich regulację i wysoką stabilność pozycjonowania.</w:t>
            </w:r>
          </w:p>
        </w:tc>
        <w:tc>
          <w:tcPr>
            <w:tcW w:w="1701" w:type="dxa"/>
          </w:tcPr>
          <w:p w14:paraId="262890D3" w14:textId="39E3A496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7D48AC9D" w14:textId="2ABCDBC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4F6588D3" w14:textId="77777777" w:rsidTr="001E1B9B">
        <w:tc>
          <w:tcPr>
            <w:tcW w:w="562" w:type="dxa"/>
          </w:tcPr>
          <w:p w14:paraId="3DAF1EA1" w14:textId="5CC04A3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38</w:t>
            </w:r>
          </w:p>
        </w:tc>
        <w:tc>
          <w:tcPr>
            <w:tcW w:w="4111" w:type="dxa"/>
          </w:tcPr>
          <w:p w14:paraId="0236CA61" w14:textId="58A0783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Akumulatory wbudowane w podstawę stołu. Ładowarka wewnętrzna. Informacja o niskim poziomie naładowania baterii na panelu sterowania awaryjnego na kolumnie stołu – nie dopuszcza się aby wskaźnik naładowania baterii umieszczony był w podstawie stołu ze względu na utrudnioną obserwację stanu baterii lub zewnętrzna ładowarka</w:t>
            </w:r>
          </w:p>
        </w:tc>
        <w:tc>
          <w:tcPr>
            <w:tcW w:w="1701" w:type="dxa"/>
          </w:tcPr>
          <w:p w14:paraId="0AFE8E15" w14:textId="3C056D66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629D80DD" w14:textId="2A472D2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6DCED9A3" w14:textId="77777777" w:rsidTr="001E1B9B">
        <w:tc>
          <w:tcPr>
            <w:tcW w:w="562" w:type="dxa"/>
          </w:tcPr>
          <w:p w14:paraId="053EDC73" w14:textId="255A09F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39</w:t>
            </w:r>
          </w:p>
        </w:tc>
        <w:tc>
          <w:tcPr>
            <w:tcW w:w="4111" w:type="dxa"/>
          </w:tcPr>
          <w:p w14:paraId="579BDA6E" w14:textId="70126029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Całkowite naładowanie baterii w czasie do 12 godzin</w:t>
            </w:r>
          </w:p>
        </w:tc>
        <w:tc>
          <w:tcPr>
            <w:tcW w:w="1701" w:type="dxa"/>
          </w:tcPr>
          <w:p w14:paraId="11177FB6" w14:textId="3F72EB4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4D8B231C" w14:textId="079C8AFD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14A9A088" w14:textId="77777777" w:rsidTr="001E1B9B">
        <w:tc>
          <w:tcPr>
            <w:tcW w:w="562" w:type="dxa"/>
          </w:tcPr>
          <w:p w14:paraId="338034B5" w14:textId="61032AA8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40</w:t>
            </w:r>
          </w:p>
        </w:tc>
        <w:tc>
          <w:tcPr>
            <w:tcW w:w="4111" w:type="dxa"/>
          </w:tcPr>
          <w:p w14:paraId="5872CC35" w14:textId="662A3BA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Stół wyposażony w demontowane materace, łączenia na materacach zespalane ultradźwiękową, bezszwową metodą, antystatyczne, o grubości minimum 80 mm, zbudowane z pianki o dwóch różnych gęstościach, wykazujące właściwości przeciwodleżynowe, odporne na działanie środków dezynfekcyjnych. </w:t>
            </w:r>
            <w:r w:rsidRPr="002D64A8">
              <w:rPr>
                <w:rFonts w:cstheme="minorHAnsi"/>
                <w:sz w:val="22"/>
                <w:szCs w:val="22"/>
              </w:rPr>
              <w:lastRenderedPageBreak/>
              <w:t>Materace powinny posiadać tzw. „pamięć kształtu”.</w:t>
            </w:r>
          </w:p>
        </w:tc>
        <w:tc>
          <w:tcPr>
            <w:tcW w:w="1701" w:type="dxa"/>
          </w:tcPr>
          <w:p w14:paraId="4710FFE5" w14:textId="108790C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2688" w:type="dxa"/>
          </w:tcPr>
          <w:p w14:paraId="7235CA95" w14:textId="1B8CC083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56E81FEC" w14:textId="77777777" w:rsidTr="001E1B9B">
        <w:tc>
          <w:tcPr>
            <w:tcW w:w="562" w:type="dxa"/>
          </w:tcPr>
          <w:p w14:paraId="4A80322F" w14:textId="76ECE753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41</w:t>
            </w:r>
          </w:p>
        </w:tc>
        <w:tc>
          <w:tcPr>
            <w:tcW w:w="4111" w:type="dxa"/>
          </w:tcPr>
          <w:p w14:paraId="3312186E" w14:textId="0972CB99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Maksymalne dopuszczalne obciążenie powyżej 400 kg</w:t>
            </w:r>
          </w:p>
        </w:tc>
        <w:tc>
          <w:tcPr>
            <w:tcW w:w="1701" w:type="dxa"/>
          </w:tcPr>
          <w:p w14:paraId="0938CA42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TAK </w:t>
            </w:r>
          </w:p>
          <w:p w14:paraId="62B3FF85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Parametr oceniany </w:t>
            </w:r>
          </w:p>
          <w:p w14:paraId="2E5E7E57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  <w:p w14:paraId="7A218E18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- 400 kg-450 kg - 0 pkt</w:t>
            </w:r>
          </w:p>
          <w:p w14:paraId="58400841" w14:textId="74551B49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- powyżej 450 kg - 10 pkt</w:t>
            </w:r>
          </w:p>
        </w:tc>
        <w:tc>
          <w:tcPr>
            <w:tcW w:w="2688" w:type="dxa"/>
          </w:tcPr>
          <w:p w14:paraId="2B898CB7" w14:textId="01C228B3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646B95E9" w14:textId="77777777" w:rsidTr="001E1B9B">
        <w:tc>
          <w:tcPr>
            <w:tcW w:w="562" w:type="dxa"/>
          </w:tcPr>
          <w:p w14:paraId="221D799A" w14:textId="573CFDFC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42</w:t>
            </w:r>
          </w:p>
        </w:tc>
        <w:tc>
          <w:tcPr>
            <w:tcW w:w="4111" w:type="dxa"/>
          </w:tcPr>
          <w:p w14:paraId="5FCECCC1" w14:textId="3E76058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Ciężar własny stołu: poniżej 300 kg</w:t>
            </w:r>
          </w:p>
        </w:tc>
        <w:tc>
          <w:tcPr>
            <w:tcW w:w="1701" w:type="dxa"/>
          </w:tcPr>
          <w:p w14:paraId="1B91F0B7" w14:textId="1A76AC7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TAK, podać  </w:t>
            </w:r>
          </w:p>
        </w:tc>
        <w:tc>
          <w:tcPr>
            <w:tcW w:w="2688" w:type="dxa"/>
          </w:tcPr>
          <w:p w14:paraId="48CC65D6" w14:textId="10A01CF8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6CF1E536" w14:textId="77777777" w:rsidTr="001E1B9B">
        <w:tc>
          <w:tcPr>
            <w:tcW w:w="562" w:type="dxa"/>
          </w:tcPr>
          <w:p w14:paraId="72B21445" w14:textId="474D6316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43</w:t>
            </w:r>
          </w:p>
        </w:tc>
        <w:tc>
          <w:tcPr>
            <w:tcW w:w="4111" w:type="dxa"/>
          </w:tcPr>
          <w:p w14:paraId="34C09520" w14:textId="577A122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Podpora pod rękę ze zintegrowanym przegubem kulowym umożliwiającym dowolne pozycjonowanie podpory oraz zacisk do montażu podpory na szynie akcesoryjnej blatu. Podpora wyposażona w dwa pasy do mocowania </w:t>
            </w:r>
            <w:proofErr w:type="gramStart"/>
            <w:r w:rsidRPr="002D64A8">
              <w:rPr>
                <w:rFonts w:cstheme="minorHAnsi"/>
                <w:sz w:val="22"/>
                <w:szCs w:val="22"/>
              </w:rPr>
              <w:t>ręki  -</w:t>
            </w:r>
            <w:proofErr w:type="gramEnd"/>
            <w:r w:rsidRPr="002D64A8">
              <w:rPr>
                <w:rFonts w:cstheme="minorHAnsi"/>
                <w:sz w:val="22"/>
                <w:szCs w:val="22"/>
              </w:rPr>
              <w:t xml:space="preserve"> 2 szt.</w:t>
            </w:r>
            <w:r w:rsidRPr="002D64A8">
              <w:rPr>
                <w:rFonts w:cstheme="minorHAnsi"/>
                <w:sz w:val="22"/>
                <w:szCs w:val="22"/>
              </w:rPr>
              <w:tab/>
            </w:r>
          </w:p>
        </w:tc>
        <w:tc>
          <w:tcPr>
            <w:tcW w:w="1701" w:type="dxa"/>
          </w:tcPr>
          <w:p w14:paraId="5B25C26B" w14:textId="696E44AD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52A05BE3" w14:textId="69840393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781254B9" w14:textId="77777777" w:rsidTr="001E1B9B">
        <w:tc>
          <w:tcPr>
            <w:tcW w:w="562" w:type="dxa"/>
          </w:tcPr>
          <w:p w14:paraId="16F328FA" w14:textId="514D9E7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44</w:t>
            </w:r>
          </w:p>
        </w:tc>
        <w:tc>
          <w:tcPr>
            <w:tcW w:w="4111" w:type="dxa"/>
          </w:tcPr>
          <w:p w14:paraId="0977C914" w14:textId="27975B85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Pas do przypinania ciała pacjenta. Montowany do szyny po obydwu stronach stołu za pomocą pasków na rzepu - 2 szt.</w:t>
            </w:r>
          </w:p>
        </w:tc>
        <w:tc>
          <w:tcPr>
            <w:tcW w:w="1701" w:type="dxa"/>
          </w:tcPr>
          <w:p w14:paraId="5369B7F7" w14:textId="31A47CF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19C3654F" w14:textId="088A191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711482B9" w14:textId="77777777" w:rsidTr="001E1B9B">
        <w:tc>
          <w:tcPr>
            <w:tcW w:w="562" w:type="dxa"/>
          </w:tcPr>
          <w:p w14:paraId="724932EB" w14:textId="6D0FE46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45</w:t>
            </w:r>
          </w:p>
        </w:tc>
        <w:tc>
          <w:tcPr>
            <w:tcW w:w="4111" w:type="dxa"/>
          </w:tcPr>
          <w:p w14:paraId="7D3348FE" w14:textId="22500EE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Podpora do operacji łąkotki - 2 szt.</w:t>
            </w:r>
          </w:p>
        </w:tc>
        <w:tc>
          <w:tcPr>
            <w:tcW w:w="1701" w:type="dxa"/>
          </w:tcPr>
          <w:p w14:paraId="33844092" w14:textId="3FC33C1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73ADE419" w14:textId="34F03B8D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5E7BE805" w14:textId="77777777" w:rsidTr="001E1B9B">
        <w:tc>
          <w:tcPr>
            <w:tcW w:w="562" w:type="dxa"/>
          </w:tcPr>
          <w:p w14:paraId="3AE7E5EC" w14:textId="099D809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46</w:t>
            </w:r>
          </w:p>
        </w:tc>
        <w:tc>
          <w:tcPr>
            <w:tcW w:w="4111" w:type="dxa"/>
          </w:tcPr>
          <w:p w14:paraId="6D6C6C2B" w14:textId="5B39F2B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Podpora pod rękę do podparcia kończyny górnej przy ułożeniu pacjenta w pozycji bocznej; podpora wyposażona w min. dwa przeguby kulowe blokowane jednym pokrętłem – 1 szt.</w:t>
            </w:r>
          </w:p>
        </w:tc>
        <w:tc>
          <w:tcPr>
            <w:tcW w:w="1701" w:type="dxa"/>
          </w:tcPr>
          <w:p w14:paraId="737E9ADD" w14:textId="44447968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5B080A31" w14:textId="7F2967A9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2F8A6A63" w14:textId="77777777" w:rsidTr="001E1B9B">
        <w:tc>
          <w:tcPr>
            <w:tcW w:w="562" w:type="dxa"/>
          </w:tcPr>
          <w:p w14:paraId="5280E913" w14:textId="1CEF13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47</w:t>
            </w:r>
          </w:p>
        </w:tc>
        <w:tc>
          <w:tcPr>
            <w:tcW w:w="4111" w:type="dxa"/>
          </w:tcPr>
          <w:p w14:paraId="367A4EE7" w14:textId="3DFAF71D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Podpora nogi typu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Goepel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 xml:space="preserve"> montowana do stołu za pomocą uchwytu uniwersalnego – 2 szt.</w:t>
            </w:r>
          </w:p>
        </w:tc>
        <w:tc>
          <w:tcPr>
            <w:tcW w:w="1701" w:type="dxa"/>
          </w:tcPr>
          <w:p w14:paraId="0D31B4F6" w14:textId="47AF076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46F7E7F5" w14:textId="727ABD9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334056C6" w14:textId="77777777" w:rsidTr="001E1B9B">
        <w:tc>
          <w:tcPr>
            <w:tcW w:w="562" w:type="dxa"/>
          </w:tcPr>
          <w:p w14:paraId="6C201D45" w14:textId="672016E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48</w:t>
            </w:r>
          </w:p>
        </w:tc>
        <w:tc>
          <w:tcPr>
            <w:tcW w:w="4111" w:type="dxa"/>
          </w:tcPr>
          <w:p w14:paraId="270FE0F2" w14:textId="723CC9B9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Uchwyt uniwersalny do mocowania akcesoriów – 6 szt.</w:t>
            </w:r>
          </w:p>
        </w:tc>
        <w:tc>
          <w:tcPr>
            <w:tcW w:w="1701" w:type="dxa"/>
          </w:tcPr>
          <w:p w14:paraId="27356793" w14:textId="632C4D2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46D34D11" w14:textId="69C966E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12821C01" w14:textId="77777777" w:rsidTr="001E1B9B">
        <w:tc>
          <w:tcPr>
            <w:tcW w:w="562" w:type="dxa"/>
          </w:tcPr>
          <w:p w14:paraId="464DBC5A" w14:textId="1A841983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49</w:t>
            </w:r>
          </w:p>
        </w:tc>
        <w:tc>
          <w:tcPr>
            <w:tcW w:w="4111" w:type="dxa"/>
          </w:tcPr>
          <w:p w14:paraId="2F3F9B0B" w14:textId="3F186006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Ekran anestezjologiczny z możliwością rozszerzania – 1 szt.</w:t>
            </w:r>
          </w:p>
        </w:tc>
        <w:tc>
          <w:tcPr>
            <w:tcW w:w="1701" w:type="dxa"/>
          </w:tcPr>
          <w:p w14:paraId="362BC060" w14:textId="19842A0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477FF260" w14:textId="6E7EC77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6A8AD0CD" w14:textId="77777777" w:rsidTr="001E1B9B">
        <w:tc>
          <w:tcPr>
            <w:tcW w:w="562" w:type="dxa"/>
          </w:tcPr>
          <w:p w14:paraId="2478FEA6" w14:textId="43704AA3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50</w:t>
            </w:r>
          </w:p>
        </w:tc>
        <w:tc>
          <w:tcPr>
            <w:tcW w:w="4111" w:type="dxa"/>
          </w:tcPr>
          <w:p w14:paraId="50CDE731" w14:textId="2387488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Wieszak kroplówki – 1 szt.</w:t>
            </w:r>
          </w:p>
        </w:tc>
        <w:tc>
          <w:tcPr>
            <w:tcW w:w="1701" w:type="dxa"/>
          </w:tcPr>
          <w:p w14:paraId="062B282F" w14:textId="4FECF3C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40B13D56" w14:textId="10B849D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045D4DEB" w14:textId="77777777" w:rsidTr="001E1B9B">
        <w:tc>
          <w:tcPr>
            <w:tcW w:w="562" w:type="dxa"/>
          </w:tcPr>
          <w:p w14:paraId="66BE2904" w14:textId="1211F73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51</w:t>
            </w:r>
          </w:p>
        </w:tc>
        <w:tc>
          <w:tcPr>
            <w:tcW w:w="4111" w:type="dxa"/>
          </w:tcPr>
          <w:p w14:paraId="2838646F" w14:textId="6A0A04A6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Wózek na akcesoria wraz z 2 koszami – 1 szt.</w:t>
            </w:r>
          </w:p>
        </w:tc>
        <w:tc>
          <w:tcPr>
            <w:tcW w:w="1701" w:type="dxa"/>
          </w:tcPr>
          <w:p w14:paraId="1671B1F8" w14:textId="60E7BA6C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22C5410D" w14:textId="08F4F2B5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75D5FED6" w14:textId="77777777" w:rsidTr="001E1B9B">
        <w:tc>
          <w:tcPr>
            <w:tcW w:w="562" w:type="dxa"/>
          </w:tcPr>
          <w:p w14:paraId="0A82DAB6" w14:textId="250A7F6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52</w:t>
            </w:r>
          </w:p>
        </w:tc>
        <w:tc>
          <w:tcPr>
            <w:tcW w:w="4111" w:type="dxa"/>
          </w:tcPr>
          <w:p w14:paraId="590D1D48" w14:textId="078923F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Ramka zapory bocznej mocowana za pomocą dedykowanego uchwytu do szyn bocznych blatu. Ramka posiadająca możliwość regulacji wysokości, obrotu wokół osi pionowej oraz regulacji długości ramienia; ramka wyposażona w gniazdo do mocowania poduszki zapierającej z blokadą śrubową – 3 szt.</w:t>
            </w:r>
          </w:p>
        </w:tc>
        <w:tc>
          <w:tcPr>
            <w:tcW w:w="1701" w:type="dxa"/>
          </w:tcPr>
          <w:p w14:paraId="67293097" w14:textId="215436C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3239FE1A" w14:textId="380FAF1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6EA3FBA2" w14:textId="77777777" w:rsidTr="001E1B9B">
        <w:tc>
          <w:tcPr>
            <w:tcW w:w="562" w:type="dxa"/>
          </w:tcPr>
          <w:p w14:paraId="2D9E5E51" w14:textId="388DE73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53</w:t>
            </w:r>
          </w:p>
        </w:tc>
        <w:tc>
          <w:tcPr>
            <w:tcW w:w="4111" w:type="dxa"/>
          </w:tcPr>
          <w:p w14:paraId="2F950598" w14:textId="428B5EF9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Poduszka zapory bocznej o wymiarach min. 160x110mm – 2 szt.</w:t>
            </w:r>
          </w:p>
        </w:tc>
        <w:tc>
          <w:tcPr>
            <w:tcW w:w="1701" w:type="dxa"/>
          </w:tcPr>
          <w:p w14:paraId="03046C98" w14:textId="5A070108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5BC6A48F" w14:textId="4CBC0A8C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7902C0EF" w14:textId="77777777" w:rsidTr="001E1B9B">
        <w:tc>
          <w:tcPr>
            <w:tcW w:w="562" w:type="dxa"/>
          </w:tcPr>
          <w:p w14:paraId="23F96619" w14:textId="719D34F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54</w:t>
            </w:r>
          </w:p>
        </w:tc>
        <w:tc>
          <w:tcPr>
            <w:tcW w:w="4111" w:type="dxa"/>
          </w:tcPr>
          <w:p w14:paraId="31CE8475" w14:textId="674D1F6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Poduszka zapory bocznej o wymiarach min. 200x100mm – 2 szt.</w:t>
            </w:r>
          </w:p>
        </w:tc>
        <w:tc>
          <w:tcPr>
            <w:tcW w:w="1701" w:type="dxa"/>
          </w:tcPr>
          <w:p w14:paraId="5ABC38E5" w14:textId="43626718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01DF9278" w14:textId="64ED81DC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55C28BFC" w14:textId="77777777" w:rsidTr="001E1B9B">
        <w:tc>
          <w:tcPr>
            <w:tcW w:w="562" w:type="dxa"/>
          </w:tcPr>
          <w:p w14:paraId="79B08BA1" w14:textId="540A72E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55</w:t>
            </w:r>
          </w:p>
        </w:tc>
        <w:tc>
          <w:tcPr>
            <w:tcW w:w="4111" w:type="dxa"/>
          </w:tcPr>
          <w:p w14:paraId="04E9AB88" w14:textId="47E1306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Poduszka zapory bocznej z dociskiem śrubowym – 1 szt.</w:t>
            </w:r>
          </w:p>
        </w:tc>
        <w:tc>
          <w:tcPr>
            <w:tcW w:w="1701" w:type="dxa"/>
          </w:tcPr>
          <w:p w14:paraId="1366469E" w14:textId="2BFA00D9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55AFD671" w14:textId="069BCF6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6BA40BB8" w14:textId="77777777" w:rsidTr="001E1B9B">
        <w:tc>
          <w:tcPr>
            <w:tcW w:w="562" w:type="dxa"/>
          </w:tcPr>
          <w:p w14:paraId="238121B5" w14:textId="598C308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lastRenderedPageBreak/>
              <w:t>56</w:t>
            </w:r>
          </w:p>
        </w:tc>
        <w:tc>
          <w:tcPr>
            <w:tcW w:w="4111" w:type="dxa"/>
          </w:tcPr>
          <w:p w14:paraId="2BF6EA75" w14:textId="0C157E0E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Poduszka zapory bocznej lędźwiowa profilowana – 1 szt.</w:t>
            </w:r>
          </w:p>
        </w:tc>
        <w:tc>
          <w:tcPr>
            <w:tcW w:w="1701" w:type="dxa"/>
          </w:tcPr>
          <w:p w14:paraId="3A8D4BD8" w14:textId="5263DB5C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59A35FEE" w14:textId="2271882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2FC6FF0C" w14:textId="77777777" w:rsidTr="001E1B9B">
        <w:tc>
          <w:tcPr>
            <w:tcW w:w="562" w:type="dxa"/>
          </w:tcPr>
          <w:p w14:paraId="0F627F04" w14:textId="18CA8B7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57</w:t>
            </w:r>
          </w:p>
        </w:tc>
        <w:tc>
          <w:tcPr>
            <w:tcW w:w="4111" w:type="dxa"/>
          </w:tcPr>
          <w:p w14:paraId="50AF88F4" w14:textId="492C7E8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Krążek żelowy pod głowę – 1szt.</w:t>
            </w:r>
          </w:p>
        </w:tc>
        <w:tc>
          <w:tcPr>
            <w:tcW w:w="1701" w:type="dxa"/>
          </w:tcPr>
          <w:p w14:paraId="7925E3EF" w14:textId="3262A9BD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3DA64C39" w14:textId="7880134E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0250F3BC" w14:textId="77777777" w:rsidTr="001E1B9B">
        <w:tc>
          <w:tcPr>
            <w:tcW w:w="562" w:type="dxa"/>
          </w:tcPr>
          <w:p w14:paraId="00334F1F" w14:textId="2417DD9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58</w:t>
            </w:r>
          </w:p>
        </w:tc>
        <w:tc>
          <w:tcPr>
            <w:tcW w:w="4111" w:type="dxa"/>
          </w:tcPr>
          <w:p w14:paraId="4B6F10FB" w14:textId="234E6975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Płyta plecowa do operacji barku z odejmowalnymi segmentami barkowymi, wyposażona w podgłówek typu hełm z odchylanymi segmentami policzkowymi i pasami mocującymi głowę pacjenta pod brodą i na czole – 1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kpl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>.  Płytę barkową należy dostarczyć z wózkiem do jej transportu i przechowywania</w:t>
            </w:r>
          </w:p>
        </w:tc>
        <w:tc>
          <w:tcPr>
            <w:tcW w:w="1701" w:type="dxa"/>
          </w:tcPr>
          <w:p w14:paraId="7EEB5A47" w14:textId="3CB4073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25F35001" w14:textId="647195D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3E2D08D4" w14:textId="77777777" w:rsidTr="001E1B9B">
        <w:tc>
          <w:tcPr>
            <w:tcW w:w="562" w:type="dxa"/>
          </w:tcPr>
          <w:p w14:paraId="084BD123" w14:textId="6F9C6D7C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59</w:t>
            </w:r>
          </w:p>
        </w:tc>
        <w:tc>
          <w:tcPr>
            <w:tcW w:w="4111" w:type="dxa"/>
          </w:tcPr>
          <w:p w14:paraId="2EF24BB5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Kompletna przystawka ortopedyczna montowana do stołu, zawierająca </w:t>
            </w:r>
          </w:p>
          <w:p w14:paraId="5FA2D0E1" w14:textId="204F2F8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co najmniej: płyta siedziska, 2 ramiona ze stali nierdzewnej z możliwością regulacji odwodzenia na boki oraz długości, możliwość odłączenia ramion wyciągowych od płyty siedziska, 1 aparat naciągowy wraz z butami, wałek oporowy, uchwyt z możliwością rotacji do drutów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Kirschnera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>, wózek do transportu elementów przystawki, wózek wyposażony w kosz do przechowywania podstawowych elementów przystawki – 1kpl.</w:t>
            </w:r>
          </w:p>
        </w:tc>
        <w:tc>
          <w:tcPr>
            <w:tcW w:w="1701" w:type="dxa"/>
          </w:tcPr>
          <w:p w14:paraId="0434252E" w14:textId="0AD4B77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5F82F63A" w14:textId="748D3DC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598406DB" w14:textId="77777777" w:rsidTr="001E1B9B">
        <w:tc>
          <w:tcPr>
            <w:tcW w:w="562" w:type="dxa"/>
          </w:tcPr>
          <w:p w14:paraId="60B88D39" w14:textId="17095E39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60</w:t>
            </w:r>
          </w:p>
        </w:tc>
        <w:tc>
          <w:tcPr>
            <w:tcW w:w="4111" w:type="dxa"/>
          </w:tcPr>
          <w:p w14:paraId="230EA63D" w14:textId="20068BE6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Wózek transportowy umożliwiający podjęcie kompletnej przystawki w sposób bez-wysiłkowy (bez konieczności ręcznego instalowania przystawki lub jej podstawowych elementów w blacie stołu operacyjnego) Funkcja przejęcia przystawki przez blat stołu operacyjnego oraz zdjęcie przystawki na wózek transportowy obsługiwane za pomocą pilota</w:t>
            </w:r>
          </w:p>
        </w:tc>
        <w:tc>
          <w:tcPr>
            <w:tcW w:w="1701" w:type="dxa"/>
          </w:tcPr>
          <w:p w14:paraId="040C4689" w14:textId="28B10FEC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65FA971C" w14:textId="6987E6BD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12F0F9E5" w14:textId="77777777" w:rsidTr="001E1B9B">
        <w:tc>
          <w:tcPr>
            <w:tcW w:w="562" w:type="dxa"/>
          </w:tcPr>
          <w:p w14:paraId="3907D8CD" w14:textId="3EC56DF5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61</w:t>
            </w:r>
          </w:p>
        </w:tc>
        <w:tc>
          <w:tcPr>
            <w:tcW w:w="4111" w:type="dxa"/>
          </w:tcPr>
          <w:p w14:paraId="7D14F0C2" w14:textId="5BA03E29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Każde ramię przystawki ortopedycznej wyposażone w min. 2 płaskie przeguby gwarantujące stabilność ramion przystawki</w:t>
            </w:r>
          </w:p>
        </w:tc>
        <w:tc>
          <w:tcPr>
            <w:tcW w:w="1701" w:type="dxa"/>
          </w:tcPr>
          <w:p w14:paraId="27653CD6" w14:textId="26FCA27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71DBA90B" w14:textId="1DABCCA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26207ED6" w14:textId="77777777" w:rsidTr="001E1B9B">
        <w:tc>
          <w:tcPr>
            <w:tcW w:w="562" w:type="dxa"/>
          </w:tcPr>
          <w:p w14:paraId="41AF7313" w14:textId="35912F1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62</w:t>
            </w:r>
          </w:p>
        </w:tc>
        <w:tc>
          <w:tcPr>
            <w:tcW w:w="4111" w:type="dxa"/>
          </w:tcPr>
          <w:p w14:paraId="02DE722D" w14:textId="67B7CB5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Siedzisko płyty przystawki ortopedycznej wyposażone w odejmowalne segmenty miednicze (</w:t>
            </w:r>
            <w:proofErr w:type="gramStart"/>
            <w:r w:rsidRPr="002D64A8">
              <w:rPr>
                <w:rFonts w:cstheme="minorHAnsi"/>
                <w:sz w:val="22"/>
                <w:szCs w:val="22"/>
              </w:rPr>
              <w:t>prawy  i</w:t>
            </w:r>
            <w:proofErr w:type="gramEnd"/>
            <w:r w:rsidRPr="002D64A8">
              <w:rPr>
                <w:rFonts w:cstheme="minorHAnsi"/>
                <w:sz w:val="22"/>
                <w:szCs w:val="22"/>
              </w:rPr>
              <w:t xml:space="preserve"> lewy segment). Zdjęcie segmentu </w:t>
            </w:r>
            <w:proofErr w:type="gramStart"/>
            <w:r w:rsidRPr="002D64A8">
              <w:rPr>
                <w:rFonts w:cstheme="minorHAnsi"/>
                <w:sz w:val="22"/>
                <w:szCs w:val="22"/>
              </w:rPr>
              <w:t>miedniczego  umożliwiające</w:t>
            </w:r>
            <w:proofErr w:type="gramEnd"/>
            <w:r w:rsidRPr="002D64A8">
              <w:rPr>
                <w:rFonts w:cstheme="minorHAnsi"/>
                <w:sz w:val="22"/>
                <w:szCs w:val="22"/>
              </w:rPr>
              <w:t xml:space="preserve"> lepszy dostęp do operowanej kończyny dolnej np. podczas zespalanie złamania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przezkrętażowego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 xml:space="preserve">. Założenie segmentu miedniczego umożliwiające poszerzenie płyty siedziska przystawki, dzięki czemu możliwie jest przesuniecie miednicy pacjenta w prawą lub lewą stronę (względem osi środkowej blatu i przystawki) w celu uzyskania większej regulacji kąta odwiedzenia i przywiedzenia </w:t>
            </w:r>
            <w:r w:rsidRPr="002D64A8">
              <w:rPr>
                <w:rFonts w:cstheme="minorHAnsi"/>
                <w:sz w:val="22"/>
                <w:szCs w:val="22"/>
              </w:rPr>
              <w:lastRenderedPageBreak/>
              <w:t>operowanej kończyny dolnej oraz podparcia miednicy/pośladków</w:t>
            </w:r>
          </w:p>
        </w:tc>
        <w:tc>
          <w:tcPr>
            <w:tcW w:w="1701" w:type="dxa"/>
          </w:tcPr>
          <w:p w14:paraId="2ACEECC2" w14:textId="6B4EBC2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2688" w:type="dxa"/>
          </w:tcPr>
          <w:p w14:paraId="5F5DA219" w14:textId="62D632E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77CD7C5A" w14:textId="77777777" w:rsidTr="001E1B9B">
        <w:tc>
          <w:tcPr>
            <w:tcW w:w="562" w:type="dxa"/>
          </w:tcPr>
          <w:p w14:paraId="10C38A26" w14:textId="0261865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63</w:t>
            </w:r>
          </w:p>
        </w:tc>
        <w:tc>
          <w:tcPr>
            <w:tcW w:w="4111" w:type="dxa"/>
          </w:tcPr>
          <w:p w14:paraId="33CDDBE4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Płyta nożna dwuczęściowa lub jednoczęściowa (podnóżki tymczasowy) do przystawki ortopedycznej mocowany w gniazdach płyty siedziska przystawki ortopedycznej – 1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kpl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 xml:space="preserve">. Wersja I </w:t>
            </w:r>
          </w:p>
          <w:p w14:paraId="7B798B0C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lub </w:t>
            </w:r>
          </w:p>
          <w:p w14:paraId="389785EF" w14:textId="00D8532C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Płyta nożna dwuczęściowa mocowana </w:t>
            </w:r>
            <w:proofErr w:type="gramStart"/>
            <w:r w:rsidRPr="002D64A8">
              <w:rPr>
                <w:rFonts w:cstheme="minorHAnsi"/>
                <w:sz w:val="22"/>
                <w:szCs w:val="22"/>
              </w:rPr>
              <w:t>w  gniazdach</w:t>
            </w:r>
            <w:proofErr w:type="gramEnd"/>
            <w:r w:rsidRPr="002D64A8">
              <w:rPr>
                <w:rFonts w:cstheme="minorHAnsi"/>
                <w:sz w:val="22"/>
                <w:szCs w:val="22"/>
              </w:rPr>
              <w:t xml:space="preserve"> podnóżków blatu (z założoną przystawką ortopedyczną) – 1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kpl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>. wersja II</w:t>
            </w:r>
          </w:p>
        </w:tc>
        <w:tc>
          <w:tcPr>
            <w:tcW w:w="1701" w:type="dxa"/>
          </w:tcPr>
          <w:p w14:paraId="27F9E928" w14:textId="77777777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39727A60" w14:textId="27705DB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7DB7379C" w14:textId="77777777" w:rsidTr="001E1B9B">
        <w:tc>
          <w:tcPr>
            <w:tcW w:w="562" w:type="dxa"/>
          </w:tcPr>
          <w:p w14:paraId="47AEA4D8" w14:textId="310B9A9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64</w:t>
            </w:r>
          </w:p>
        </w:tc>
        <w:tc>
          <w:tcPr>
            <w:tcW w:w="4111" w:type="dxa"/>
          </w:tcPr>
          <w:p w14:paraId="11F6C8CA" w14:textId="6E0BC64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Poduszka kołka zaporowego o zwiększonej średnicy – 1 szt.</w:t>
            </w:r>
          </w:p>
        </w:tc>
        <w:tc>
          <w:tcPr>
            <w:tcW w:w="1701" w:type="dxa"/>
          </w:tcPr>
          <w:p w14:paraId="4381AA73" w14:textId="040A48C8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6074D90A" w14:textId="4E6A94EA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045323A8" w14:textId="77777777" w:rsidTr="001E1B9B">
        <w:tc>
          <w:tcPr>
            <w:tcW w:w="562" w:type="dxa"/>
          </w:tcPr>
          <w:p w14:paraId="78DD59D9" w14:textId="23287BC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65</w:t>
            </w:r>
          </w:p>
        </w:tc>
        <w:tc>
          <w:tcPr>
            <w:tcW w:w="4111" w:type="dxa"/>
          </w:tcPr>
          <w:p w14:paraId="5ECCD589" w14:textId="2B00524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Kołek zaporowy z przesunięciem mimośrodowym – 1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701" w:type="dxa"/>
          </w:tcPr>
          <w:p w14:paraId="7328E4C6" w14:textId="723273A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02DD7160" w14:textId="69DFB12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1329D329" w14:textId="77777777" w:rsidTr="001E1B9B">
        <w:tc>
          <w:tcPr>
            <w:tcW w:w="562" w:type="dxa"/>
          </w:tcPr>
          <w:p w14:paraId="048B84DB" w14:textId="3DE9BBBD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66</w:t>
            </w:r>
          </w:p>
        </w:tc>
        <w:tc>
          <w:tcPr>
            <w:tcW w:w="4111" w:type="dxa"/>
          </w:tcPr>
          <w:p w14:paraId="77747F17" w14:textId="25B58D45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Pasy do mocowania kończyn dolnych – 2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kpl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4B3C997B" w14:textId="7C3B002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6ED8EDDB" w14:textId="459CA87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61472C00" w14:textId="77777777" w:rsidTr="001E1B9B">
        <w:tc>
          <w:tcPr>
            <w:tcW w:w="562" w:type="dxa"/>
          </w:tcPr>
          <w:p w14:paraId="46969540" w14:textId="45F651C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67</w:t>
            </w:r>
          </w:p>
        </w:tc>
        <w:tc>
          <w:tcPr>
            <w:tcW w:w="4111" w:type="dxa"/>
          </w:tcPr>
          <w:p w14:paraId="19E88B6C" w14:textId="68FB7AA6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Przedłużenie szyny bocznej – 2 szt.</w:t>
            </w:r>
          </w:p>
        </w:tc>
        <w:tc>
          <w:tcPr>
            <w:tcW w:w="1701" w:type="dxa"/>
          </w:tcPr>
          <w:p w14:paraId="0939798A" w14:textId="45E3FE3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7CF86BA9" w14:textId="25F8DCDD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5CF7D54E" w14:textId="77777777" w:rsidTr="001E1B9B">
        <w:tc>
          <w:tcPr>
            <w:tcW w:w="562" w:type="dxa"/>
          </w:tcPr>
          <w:p w14:paraId="301E27A7" w14:textId="6A57810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68</w:t>
            </w:r>
          </w:p>
        </w:tc>
        <w:tc>
          <w:tcPr>
            <w:tcW w:w="4111" w:type="dxa"/>
          </w:tcPr>
          <w:p w14:paraId="0FE3FFBF" w14:textId="3811BD5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Poduszka typu tunel do ułożenia pacjentów w pozycji na boku – 1 szt.</w:t>
            </w:r>
          </w:p>
        </w:tc>
        <w:tc>
          <w:tcPr>
            <w:tcW w:w="1701" w:type="dxa"/>
          </w:tcPr>
          <w:p w14:paraId="38D70034" w14:textId="61C76F94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2B2F9F1D" w14:textId="573DE42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2364C2ED" w14:textId="77777777" w:rsidTr="001E1B9B">
        <w:tc>
          <w:tcPr>
            <w:tcW w:w="562" w:type="dxa"/>
          </w:tcPr>
          <w:p w14:paraId="2ABEECE6" w14:textId="70EE3060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69</w:t>
            </w:r>
          </w:p>
        </w:tc>
        <w:tc>
          <w:tcPr>
            <w:tcW w:w="4111" w:type="dxa"/>
          </w:tcPr>
          <w:p w14:paraId="79930C0B" w14:textId="725245D2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Śruba wyciągowa obrotowa w zakresie 360 </w:t>
            </w:r>
            <w:proofErr w:type="gramStart"/>
            <w:r w:rsidRPr="002D64A8">
              <w:rPr>
                <w:rFonts w:cstheme="minorHAnsi"/>
                <w:sz w:val="22"/>
                <w:szCs w:val="22"/>
              </w:rPr>
              <w:t>stopni  –</w:t>
            </w:r>
            <w:proofErr w:type="gramEnd"/>
            <w:r w:rsidRPr="002D64A8">
              <w:rPr>
                <w:rFonts w:cstheme="minorHAnsi"/>
                <w:sz w:val="22"/>
                <w:szCs w:val="22"/>
              </w:rPr>
              <w:t xml:space="preserve"> 1 szt.</w:t>
            </w:r>
          </w:p>
        </w:tc>
        <w:tc>
          <w:tcPr>
            <w:tcW w:w="1701" w:type="dxa"/>
          </w:tcPr>
          <w:p w14:paraId="1941EFB2" w14:textId="22E4808E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11953025" w14:textId="7C65714B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B0745" w:rsidRPr="002D64A8" w14:paraId="23684096" w14:textId="77777777" w:rsidTr="001E1B9B">
        <w:tc>
          <w:tcPr>
            <w:tcW w:w="562" w:type="dxa"/>
          </w:tcPr>
          <w:p w14:paraId="6B96BC83" w14:textId="54996C85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70</w:t>
            </w:r>
          </w:p>
        </w:tc>
        <w:tc>
          <w:tcPr>
            <w:tcW w:w="4111" w:type="dxa"/>
          </w:tcPr>
          <w:p w14:paraId="10CAD332" w14:textId="22C46FA1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 xml:space="preserve">Belki przystawki ortopedycznej wykonane z włókna węglowego wraz z adapterem do mocowania śruby wyciągowej – 1 </w:t>
            </w:r>
            <w:proofErr w:type="spellStart"/>
            <w:r w:rsidRPr="002D64A8">
              <w:rPr>
                <w:rFonts w:cstheme="minorHAnsi"/>
                <w:sz w:val="22"/>
                <w:szCs w:val="22"/>
              </w:rPr>
              <w:t>kpl</w:t>
            </w:r>
            <w:proofErr w:type="spellEnd"/>
            <w:r w:rsidRPr="002D64A8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5014E454" w14:textId="50ECB028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  <w:r w:rsidRPr="002D64A8">
              <w:rPr>
                <w:rFonts w:cstheme="minorHAns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4C884913" w14:textId="5AB849FF" w:rsidR="007B0745" w:rsidRPr="002D64A8" w:rsidRDefault="007B0745" w:rsidP="007B0745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4A4A91C2" w14:textId="77777777" w:rsidR="006A52FB" w:rsidRPr="007B0745" w:rsidRDefault="006A52FB" w:rsidP="006A52FB">
      <w:pPr>
        <w:jc w:val="both"/>
        <w:rPr>
          <w:b/>
          <w:bCs/>
          <w:sz w:val="10"/>
          <w:szCs w:val="10"/>
        </w:rPr>
      </w:pPr>
    </w:p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4087"/>
        <w:gridCol w:w="1701"/>
        <w:gridCol w:w="2693"/>
      </w:tblGrid>
      <w:tr w:rsidR="00A65AE7" w:rsidRPr="005230FF" w14:paraId="214A96E9" w14:textId="77777777" w:rsidTr="002D64A8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0B817A5" w14:textId="77777777" w:rsidR="00A65AE7" w:rsidRPr="005230FF" w:rsidRDefault="00A65AE7" w:rsidP="00661B0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6FE963" w14:textId="77777777" w:rsidR="00A65AE7" w:rsidRPr="005230FF" w:rsidRDefault="00A65AE7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color w:val="000000" w:themeColor="text1"/>
                <w:sz w:val="20"/>
                <w:szCs w:val="20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5949A4" w14:textId="77777777" w:rsidR="00A65AE7" w:rsidRPr="005230FF" w:rsidRDefault="00A65AE7" w:rsidP="00661B0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rFonts w:ascii="Calibri" w:hAnsi="Calibri" w:cs="Arial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56AE7C6" w14:textId="77777777" w:rsidR="00A65AE7" w:rsidRPr="005230FF" w:rsidRDefault="00A65AE7" w:rsidP="00661B0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rFonts w:ascii="Calibri" w:hAnsi="Calibri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A65AE7" w:rsidRPr="005230FF" w14:paraId="3B830A6D" w14:textId="77777777" w:rsidTr="002D64A8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8C2569" w14:textId="77777777" w:rsidR="00A65AE7" w:rsidRPr="005230FF" w:rsidRDefault="00A65AE7" w:rsidP="00661B0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8412E6" w14:textId="2905BEFD" w:rsidR="00A65AE7" w:rsidRPr="005230FF" w:rsidRDefault="00A65AE7" w:rsidP="00661B02">
            <w:pPr>
              <w:spacing w:after="0"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</w:rPr>
              <w:t xml:space="preserve">Gwarancja min. </w:t>
            </w:r>
            <w:r w:rsidR="00A12991">
              <w:rPr>
                <w:b/>
                <w:bCs/>
                <w:color w:val="000000" w:themeColor="text1"/>
                <w:sz w:val="20"/>
                <w:szCs w:val="20"/>
              </w:rPr>
              <w:t>36</w:t>
            </w:r>
            <w:r w:rsidRPr="005230FF">
              <w:rPr>
                <w:b/>
                <w:bCs/>
                <w:color w:val="000000" w:themeColor="text1"/>
                <w:sz w:val="20"/>
                <w:szCs w:val="20"/>
              </w:rPr>
              <w:t xml:space="preserve"> miesięcy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D5CEA7" w14:textId="77777777" w:rsidR="00A65AE7" w:rsidRPr="005230FF" w:rsidRDefault="00A65AE7" w:rsidP="00661B0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265D959" w14:textId="77777777" w:rsidR="00A65AE7" w:rsidRPr="005230FF" w:rsidRDefault="00A65AE7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78500EC2" w14:textId="12E71399" w:rsidR="00A65AE7" w:rsidRPr="005230FF" w:rsidRDefault="002D64A8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zh-CN" w:bidi="pl-PL"/>
              </w:rPr>
              <w:t>…………………….. Podać</w:t>
            </w:r>
          </w:p>
          <w:p w14:paraId="32532A1B" w14:textId="77777777" w:rsidR="00A65AE7" w:rsidRPr="005230FF" w:rsidRDefault="00A65AE7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7144BC" w:rsidRPr="005230FF" w14:paraId="13EFA42D" w14:textId="77777777" w:rsidTr="002D64A8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D33CF6A" w14:textId="77777777" w:rsidR="007144BC" w:rsidRPr="005230FF" w:rsidRDefault="007144BC" w:rsidP="007144B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7A8EADA" w14:textId="55D16B43" w:rsidR="007144BC" w:rsidRPr="005230FF" w:rsidRDefault="007144BC" w:rsidP="007144BC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color w:val="000000" w:themeColor="text1"/>
                <w:sz w:val="20"/>
                <w:szCs w:val="20"/>
              </w:rPr>
              <w:t>Czas reakcji serwisu na zgłoszenie z podjęciem naprawy (nie dłuższy niż 48 h) liczony od momentu zgłoszenia.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4682C3" w14:textId="77777777" w:rsidR="007144BC" w:rsidRPr="005230FF" w:rsidRDefault="007144BC" w:rsidP="007144B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135D50" w14:textId="46AB4068" w:rsidR="007144BC" w:rsidRPr="005230FF" w:rsidRDefault="007144BC" w:rsidP="007144BC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7144BC" w:rsidRPr="005230FF" w14:paraId="23A7672E" w14:textId="77777777" w:rsidTr="002D64A8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7A0B37" w14:textId="77777777" w:rsidR="007144BC" w:rsidRPr="005230FF" w:rsidRDefault="007144BC" w:rsidP="007144B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0D3803" w14:textId="77777777" w:rsidR="007144BC" w:rsidRPr="005230FF" w:rsidRDefault="007144BC" w:rsidP="007144BC">
            <w:p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 przypadku awarii urządzenia trwającej dłużej niż 5 dni wykonawca dostarczy urządzenie zastępcze na czas naprawy urządzenia. W przypadku braku takiej reakcji:</w:t>
            </w:r>
          </w:p>
          <w:p w14:paraId="40678787" w14:textId="77A4B427" w:rsidR="007144BC" w:rsidRPr="00A86E16" w:rsidRDefault="007144BC" w:rsidP="00A86E1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Zamawiający ma prawo wypożyczyć, zainstalować i uruchomić na koszt Wykonawcy u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dowolnego innego dostawcy urządzenie zastępcze, zachowując jednocześnie prawo do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kary umownej i odszkodowania</w:t>
            </w:r>
            <w:r w:rsidRPr="005230F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C71E9B" w14:textId="77777777" w:rsidR="007144BC" w:rsidRPr="005230FF" w:rsidRDefault="007144BC" w:rsidP="007144B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EE14FA" w14:textId="2C1FEE6D" w:rsidR="007144BC" w:rsidRPr="005230FF" w:rsidRDefault="007144BC" w:rsidP="007144BC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7144BC" w:rsidRPr="005230FF" w14:paraId="3A120D41" w14:textId="77777777" w:rsidTr="002D64A8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2E1791" w14:textId="77777777" w:rsidR="007144BC" w:rsidRPr="005230FF" w:rsidRDefault="007144BC" w:rsidP="007144B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4AF6EF" w14:textId="77777777" w:rsidR="007144BC" w:rsidRPr="005230FF" w:rsidRDefault="007144BC" w:rsidP="007144BC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EFFFD3" w14:textId="77777777" w:rsidR="007144BC" w:rsidRPr="005230FF" w:rsidRDefault="007144BC" w:rsidP="007144B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3602B1" w14:textId="1D88FA47" w:rsidR="007144BC" w:rsidRPr="005230FF" w:rsidRDefault="007144BC" w:rsidP="007144BC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7144BC" w:rsidRPr="005230FF" w14:paraId="2F13A46D" w14:textId="77777777" w:rsidTr="002D64A8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933EFE" w14:textId="77777777" w:rsidR="007144BC" w:rsidRPr="005230FF" w:rsidRDefault="007144BC" w:rsidP="007144B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E481F1" w14:textId="77777777" w:rsidR="007144BC" w:rsidRPr="005230FF" w:rsidRDefault="007144BC" w:rsidP="007144BC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159FB6E" w14:textId="77777777" w:rsidR="007144BC" w:rsidRPr="005230FF" w:rsidRDefault="007144BC" w:rsidP="007144B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40F6EA0" w14:textId="3D4B925C" w:rsidR="007144BC" w:rsidRPr="005230FF" w:rsidRDefault="007144BC" w:rsidP="007144BC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7144BC" w:rsidRPr="005230FF" w14:paraId="3A91640F" w14:textId="77777777" w:rsidTr="002D64A8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F97BB32" w14:textId="77777777" w:rsidR="007144BC" w:rsidRPr="005230FF" w:rsidRDefault="007144BC" w:rsidP="007144B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F53F96" w14:textId="41B7ABF9" w:rsidR="007144BC" w:rsidRPr="005230FF" w:rsidRDefault="007144BC" w:rsidP="007144BC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przedłużenie gwarancji o czas niesprawności urządzenia, w przypadku napraw gwarancyjnych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D952FD6" w14:textId="77777777" w:rsidR="007144BC" w:rsidRPr="005230FF" w:rsidRDefault="007144BC" w:rsidP="007144B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6F59167B" w14:textId="77777777" w:rsidR="007144BC" w:rsidRPr="005230FF" w:rsidRDefault="007144BC" w:rsidP="007144B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3C3E70" w14:textId="77777777" w:rsidR="007144BC" w:rsidRPr="005230FF" w:rsidRDefault="007144BC" w:rsidP="007144B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47C0628C" w14:textId="0AE4FAEA" w:rsidR="007144BC" w:rsidRPr="005230FF" w:rsidRDefault="007144BC" w:rsidP="007144BC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7144BC" w:rsidRPr="005230FF" w14:paraId="72C101FE" w14:textId="77777777" w:rsidTr="002D64A8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6B86D0F" w14:textId="77777777" w:rsidR="007144BC" w:rsidRPr="005230FF" w:rsidRDefault="007144BC" w:rsidP="007144BC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C3CE1F2" w14:textId="49404584" w:rsidR="007144BC" w:rsidRPr="005230FF" w:rsidRDefault="007144BC" w:rsidP="007144BC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obligatoryjna wymiana urządzenia na nowe nastąpi w przypadku wystąpienia 3 kolejnych awarii przedmiotu zamówienia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6B4C060" w14:textId="77777777" w:rsidR="007144BC" w:rsidRPr="005230FF" w:rsidRDefault="007144BC" w:rsidP="007144B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3F451D4F" w14:textId="77777777" w:rsidR="007144BC" w:rsidRPr="005230FF" w:rsidRDefault="007144BC" w:rsidP="007144B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9C96943" w14:textId="77777777" w:rsidR="007144BC" w:rsidRPr="005230FF" w:rsidRDefault="007144BC" w:rsidP="007144BC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598231E5" w14:textId="4E2A565E" w:rsidR="007144BC" w:rsidRPr="005230FF" w:rsidRDefault="007144BC" w:rsidP="007144BC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</w:tbl>
    <w:p w14:paraId="667DE8D0" w14:textId="1CD91F56" w:rsidR="007B0745" w:rsidRPr="00BF6E04" w:rsidRDefault="007B0745" w:rsidP="007B0745">
      <w:pPr>
        <w:ind w:left="-142" w:right="467"/>
        <w:jc w:val="both"/>
        <w:rPr>
          <w:rFonts w:cstheme="minorHAnsi"/>
          <w:sz w:val="22"/>
          <w:szCs w:val="22"/>
        </w:rPr>
      </w:pPr>
      <w:r w:rsidRPr="00BF6E04">
        <w:rPr>
          <w:rFonts w:eastAsia="Batang" w:cstheme="minorHAnsi"/>
          <w:bCs/>
          <w:sz w:val="22"/>
          <w:szCs w:val="22"/>
        </w:rPr>
        <w:t>UWAGI:</w:t>
      </w:r>
      <w:r w:rsidRPr="00BF6E04">
        <w:rPr>
          <w:rFonts w:cstheme="minorHAnsi"/>
          <w:sz w:val="22"/>
          <w:szCs w:val="22"/>
        </w:rPr>
        <w:t xml:space="preserve"> </w:t>
      </w:r>
    </w:p>
    <w:p w14:paraId="07595054" w14:textId="77777777" w:rsidR="007B0745" w:rsidRPr="00BF6E04" w:rsidRDefault="007B0745" w:rsidP="007B0745">
      <w:pPr>
        <w:pBdr>
          <w:top w:val="nil"/>
          <w:left w:val="nil"/>
          <w:bottom w:val="nil"/>
          <w:right w:val="nil"/>
          <w:between w:val="nil"/>
          <w:bar w:val="nil"/>
        </w:pBdr>
        <w:ind w:left="-142" w:right="467"/>
        <w:rPr>
          <w:rFonts w:cstheme="minorHAnsi"/>
          <w:color w:val="000000"/>
          <w:sz w:val="22"/>
          <w:szCs w:val="22"/>
          <w:u w:color="000000"/>
          <w:bdr w:val="nil"/>
        </w:rPr>
      </w:pPr>
      <w:r w:rsidRPr="00BF6E04">
        <w:rPr>
          <w:rFonts w:eastAsia="Batang" w:cstheme="minorHAnsi"/>
          <w:color w:val="000000"/>
          <w:sz w:val="22"/>
          <w:szCs w:val="22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18AA7F7C" w14:textId="296EDB20" w:rsidR="007B0745" w:rsidRPr="007B0745" w:rsidRDefault="007B0745" w:rsidP="007B0745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20"/>
        <w:ind w:left="-142"/>
        <w:rPr>
          <w:rFonts w:eastAsia="Arial Unicode MS" w:cstheme="minorHAnsi"/>
          <w:color w:val="000000"/>
          <w:kern w:val="1"/>
          <w:sz w:val="22"/>
          <w:szCs w:val="22"/>
          <w:u w:color="000000"/>
          <w:bdr w:val="nil"/>
        </w:rPr>
      </w:pPr>
      <w:r w:rsidRPr="00BF6E04">
        <w:rPr>
          <w:rFonts w:eastAsia="Batang" w:cstheme="minorHAnsi"/>
          <w:color w:val="000000"/>
          <w:sz w:val="22"/>
          <w:szCs w:val="22"/>
          <w:u w:color="000000"/>
          <w:bdr w:val="nil"/>
        </w:rPr>
        <w:t xml:space="preserve">2. Brak opisu traktowany będzie jako brak danego parametru w oferowanej konfiguracji urządzenia.                                                    </w:t>
      </w:r>
      <w:r w:rsidRPr="00BF6E04">
        <w:rPr>
          <w:rFonts w:eastAsia="Arial Unicode MS" w:cstheme="minorHAnsi"/>
          <w:color w:val="000000"/>
          <w:kern w:val="1"/>
          <w:sz w:val="22"/>
          <w:szCs w:val="22"/>
          <w:u w:color="000000"/>
          <w:bdr w:val="nil"/>
        </w:rPr>
        <w:t>3. Oświadczam, że oferowany przedmiot zamówienia spełnia wszystkie powyższe wymagania Zamawiającego.</w:t>
      </w:r>
    </w:p>
    <w:p w14:paraId="5FE96E85" w14:textId="77777777" w:rsidR="007B0745" w:rsidRPr="00A252E0" w:rsidRDefault="007B0745" w:rsidP="007B0745">
      <w:pPr>
        <w:widowControl w:val="0"/>
        <w:ind w:left="-142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1941C02E" w14:textId="77777777" w:rsidR="007B0745" w:rsidRPr="00A252E0" w:rsidRDefault="007B0745" w:rsidP="007B0745">
      <w:pPr>
        <w:widowControl w:val="0"/>
        <w:ind w:left="-142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0A7672B7" w14:textId="3E4D5330" w:rsidR="007B0745" w:rsidRPr="00A252E0" w:rsidRDefault="007B0745" w:rsidP="007B0745">
      <w:pPr>
        <w:tabs>
          <w:tab w:val="left" w:pos="426"/>
        </w:tabs>
        <w:spacing w:after="120"/>
        <w:ind w:left="-142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Przez rozwiązania równoważne zamawiający rozumie takie, które co najmniej spełniają wymagania określone w niniejszym załączniku oraz charakteryzują się parametrami technicznymi, jakościowymi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softHyphen/>
        <w:t>ważne.</w:t>
      </w:r>
    </w:p>
    <w:p w14:paraId="7D1B8D53" w14:textId="51C6B7B3" w:rsidR="007B0745" w:rsidRPr="00A252E0" w:rsidRDefault="007B0745" w:rsidP="007B0745">
      <w:pPr>
        <w:tabs>
          <w:tab w:val="left" w:pos="426"/>
        </w:tabs>
        <w:spacing w:after="120"/>
        <w:ind w:left="-142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>W przypadku, gdy w opisie przedmiotu zamówienia znajdą się odniesienia do norm,</w:t>
      </w:r>
      <w:r w:rsidRPr="00A252E0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ocen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specyfikacji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</w:t>
      </w:r>
      <w:r w:rsidRPr="00A252E0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systemów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referencji</w:t>
      </w:r>
      <w:r w:rsidRPr="00A252E0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A252E0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których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mowa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w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art.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101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1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pkt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2)</w:t>
      </w:r>
      <w:r w:rsidRPr="00A252E0">
        <w:rPr>
          <w:rFonts w:ascii="Calibri" w:hAnsi="Calibri" w:cs="Calibri"/>
          <w:color w:val="000000" w:themeColor="text1"/>
          <w:spacing w:val="-13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oraz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3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ustawy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Pzp,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Zamawiający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dopuszcza</w:t>
      </w:r>
      <w:r w:rsidRPr="00A252E0">
        <w:rPr>
          <w:rFonts w:ascii="Calibri" w:hAnsi="Calibri" w:cs="Calibri"/>
          <w:color w:val="000000" w:themeColor="text1"/>
          <w:spacing w:val="-68"/>
          <w:sz w:val="22"/>
          <w:szCs w:val="22"/>
        </w:rPr>
        <w:t xml:space="preserve">   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 rozwiązania</w:t>
      </w:r>
      <w:r w:rsidRPr="00A252E0">
        <w:rPr>
          <w:rFonts w:ascii="Calibri" w:hAnsi="Calibri" w:cs="Calibri"/>
          <w:color w:val="000000" w:themeColor="text1"/>
          <w:spacing w:val="-2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równoważne pod względem metodologii postępowania, zakresu, funkcjonalności, możliwości zastosowania, przechowywania, działania i innych cech opisanych w normach. </w:t>
      </w:r>
    </w:p>
    <w:p w14:paraId="7E795C63" w14:textId="679EB8E9" w:rsidR="007B0745" w:rsidRPr="007B0745" w:rsidRDefault="007B0745" w:rsidP="007B0745">
      <w:pPr>
        <w:ind w:left="-142"/>
        <w:jc w:val="both"/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A252E0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A252E0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dopuszcza się rozwiązania równoważne opisywanym, i jednocześnie w każdym miejscu Zamawiający wprowadza określenie "lub równoważne"</w:t>
      </w:r>
      <w:r w:rsidRPr="00A252E0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(</w:t>
      </w:r>
      <w:hyperlink r:id="rId7" w:anchor="prawo1" w:tooltip="Odnośnik do właściwego zapisu prawnego" w:history="1">
        <w:r w:rsidRPr="00A252E0">
          <w:rPr>
            <w:rStyle w:val="Hipercze"/>
            <w:rFonts w:ascii="Calibri" w:hAnsi="Calibri" w:cs="Calibri"/>
            <w:color w:val="000000" w:themeColor="text1"/>
            <w:sz w:val="22"/>
            <w:szCs w:val="22"/>
          </w:rPr>
          <w:t>podstawa prawna art. 42 ust. 3 dyrektywy 2014/24/UE</w:t>
        </w:r>
      </w:hyperlink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).</w:t>
      </w:r>
    </w:p>
    <w:p w14:paraId="1FF6ABD1" w14:textId="77777777" w:rsidR="007B0745" w:rsidRPr="00BF6E04" w:rsidRDefault="007B0745" w:rsidP="007B0745">
      <w:pPr>
        <w:ind w:right="-35"/>
        <w:rPr>
          <w:rFonts w:cstheme="minorHAnsi"/>
          <w:sz w:val="22"/>
          <w:szCs w:val="22"/>
        </w:rPr>
      </w:pPr>
    </w:p>
    <w:p w14:paraId="412D63D3" w14:textId="7F77A3E8" w:rsidR="006A52FB" w:rsidRPr="002D64A8" w:rsidRDefault="007B0745" w:rsidP="002D64A8">
      <w:pPr>
        <w:spacing w:before="100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i/>
          <w:color w:val="000000"/>
          <w:sz w:val="22"/>
          <w:szCs w:val="22"/>
        </w:rPr>
        <w:t>Ww. dokument składa się, pod rygorem nieważności, w formie elektronicznej</w:t>
      </w:r>
    </w:p>
    <w:sectPr w:rsidR="006A52FB" w:rsidRPr="002D64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83272" w14:textId="77777777" w:rsidR="00315364" w:rsidRDefault="00315364" w:rsidP="009901F3">
      <w:pPr>
        <w:spacing w:after="0" w:line="240" w:lineRule="auto"/>
      </w:pPr>
      <w:r>
        <w:separator/>
      </w:r>
    </w:p>
  </w:endnote>
  <w:endnote w:type="continuationSeparator" w:id="0">
    <w:p w14:paraId="66664809" w14:textId="77777777" w:rsidR="00315364" w:rsidRDefault="00315364" w:rsidP="0099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A094B" w14:textId="77777777" w:rsidR="00315364" w:rsidRDefault="00315364" w:rsidP="009901F3">
      <w:pPr>
        <w:spacing w:after="0" w:line="240" w:lineRule="auto"/>
      </w:pPr>
      <w:r>
        <w:separator/>
      </w:r>
    </w:p>
  </w:footnote>
  <w:footnote w:type="continuationSeparator" w:id="0">
    <w:p w14:paraId="3ACF7A34" w14:textId="77777777" w:rsidR="00315364" w:rsidRDefault="00315364" w:rsidP="0099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C29E2" w14:textId="778BDFD4" w:rsidR="009901F3" w:rsidRDefault="009901F3">
    <w:pPr>
      <w:pStyle w:val="Nagwek"/>
    </w:pPr>
    <w:r w:rsidRPr="00E60719">
      <w:rPr>
        <w:noProof/>
      </w:rPr>
      <w:drawing>
        <wp:inline distT="0" distB="0" distL="0" distR="0" wp14:anchorId="4C16BA6E" wp14:editId="2D1071C4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76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1153C"/>
    <w:rsid w:val="0002653A"/>
    <w:rsid w:val="00094AAE"/>
    <w:rsid w:val="000B06AD"/>
    <w:rsid w:val="000E1E17"/>
    <w:rsid w:val="000E411C"/>
    <w:rsid w:val="0015069E"/>
    <w:rsid w:val="00172E3B"/>
    <w:rsid w:val="001B3901"/>
    <w:rsid w:val="001D5141"/>
    <w:rsid w:val="001E1B9B"/>
    <w:rsid w:val="00207AE8"/>
    <w:rsid w:val="002662DA"/>
    <w:rsid w:val="00292DE7"/>
    <w:rsid w:val="002B2ABF"/>
    <w:rsid w:val="002D64A8"/>
    <w:rsid w:val="002F0C0A"/>
    <w:rsid w:val="00315364"/>
    <w:rsid w:val="00322096"/>
    <w:rsid w:val="00327217"/>
    <w:rsid w:val="00347A21"/>
    <w:rsid w:val="00374FA9"/>
    <w:rsid w:val="00384F82"/>
    <w:rsid w:val="00443781"/>
    <w:rsid w:val="004F6D74"/>
    <w:rsid w:val="0050198D"/>
    <w:rsid w:val="005231F1"/>
    <w:rsid w:val="005420E0"/>
    <w:rsid w:val="00585330"/>
    <w:rsid w:val="005A4FE1"/>
    <w:rsid w:val="005B159A"/>
    <w:rsid w:val="00647C9F"/>
    <w:rsid w:val="006627EE"/>
    <w:rsid w:val="006A52FB"/>
    <w:rsid w:val="007144BC"/>
    <w:rsid w:val="00731485"/>
    <w:rsid w:val="00742B2F"/>
    <w:rsid w:val="00776E8F"/>
    <w:rsid w:val="007B0745"/>
    <w:rsid w:val="0086409D"/>
    <w:rsid w:val="00890004"/>
    <w:rsid w:val="008A3397"/>
    <w:rsid w:val="008D0B81"/>
    <w:rsid w:val="00946A3A"/>
    <w:rsid w:val="0098291D"/>
    <w:rsid w:val="009901F3"/>
    <w:rsid w:val="009B4ED8"/>
    <w:rsid w:val="009E5F3E"/>
    <w:rsid w:val="00A12991"/>
    <w:rsid w:val="00A36846"/>
    <w:rsid w:val="00A65AE7"/>
    <w:rsid w:val="00A833F9"/>
    <w:rsid w:val="00A86E16"/>
    <w:rsid w:val="00AB42A7"/>
    <w:rsid w:val="00AE3FF2"/>
    <w:rsid w:val="00BF391C"/>
    <w:rsid w:val="00CE2B25"/>
    <w:rsid w:val="00D44896"/>
    <w:rsid w:val="00FF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0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01F3"/>
  </w:style>
  <w:style w:type="paragraph" w:styleId="Stopka">
    <w:name w:val="footer"/>
    <w:basedOn w:val="Normalny"/>
    <w:link w:val="StopkaZnak"/>
    <w:uiPriority w:val="99"/>
    <w:unhideWhenUsed/>
    <w:rsid w:val="00990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01F3"/>
  </w:style>
  <w:style w:type="character" w:styleId="Hipercze">
    <w:name w:val="Hyperlink"/>
    <w:rsid w:val="009901F3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9901F3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1F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uiPriority w:val="22"/>
    <w:qFormat/>
    <w:rsid w:val="007B0745"/>
    <w:rPr>
      <w:b/>
      <w:bCs/>
    </w:rPr>
  </w:style>
  <w:style w:type="character" w:customStyle="1" w:styleId="apple-converted-space">
    <w:name w:val="apple-converted-space"/>
    <w:basedOn w:val="Domylnaczcionkaakapitu"/>
    <w:rsid w:val="007B0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2174</Words>
  <Characters>13049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Izabela Kańkowska</cp:lastModifiedBy>
  <cp:revision>6</cp:revision>
  <cp:lastPrinted>2025-06-02T11:00:00Z</cp:lastPrinted>
  <dcterms:created xsi:type="dcterms:W3CDTF">2025-06-12T19:22:00Z</dcterms:created>
  <dcterms:modified xsi:type="dcterms:W3CDTF">2025-07-04T07:29:00Z</dcterms:modified>
</cp:coreProperties>
</file>