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6F72F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2AE58012" w14:textId="63274415" w:rsidR="00D76B5A" w:rsidRPr="00E01988" w:rsidRDefault="00730A2F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>
        <w:rPr>
          <w:rFonts w:eastAsia="Times New Roman" w:cs="Times New Roman"/>
        </w:rPr>
        <w:t>…………………………………</w:t>
      </w:r>
      <w:r w:rsidR="00C90D53">
        <w:rPr>
          <w:rFonts w:eastAsia="Times New Roman" w:cs="Times New Roman"/>
        </w:rPr>
        <w:t xml:space="preserve"> </w:t>
      </w:r>
      <w:r w:rsidR="00D76B5A" w:rsidRPr="00E01988">
        <w:rPr>
          <w:rFonts w:eastAsia="Cambria" w:cs="Times New Roman"/>
        </w:rPr>
        <w:t>(miejscowość</w:t>
      </w:r>
      <w:r w:rsidR="00BE2441">
        <w:rPr>
          <w:rFonts w:eastAsia="Cambria" w:cs="Times New Roman"/>
        </w:rPr>
        <w:t>, data</w:t>
      </w:r>
      <w:r w:rsidR="00D76B5A" w:rsidRPr="00E01988">
        <w:rPr>
          <w:rFonts w:eastAsia="Cambria" w:cs="Times New Roman"/>
        </w:rPr>
        <w:t>)</w:t>
      </w:r>
    </w:p>
    <w:p w14:paraId="416EFCA5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59DF1211" w14:textId="406EEB84" w:rsidR="00DF7BD8" w:rsidRDefault="00F157BA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  <w:r>
        <w:rPr>
          <w:rFonts w:eastAsia="Tahoma" w:cs="Times New Roman"/>
          <w:b/>
        </w:rPr>
        <w:tab/>
      </w:r>
    </w:p>
    <w:p w14:paraId="09D320F9" w14:textId="77777777" w:rsidR="0026583F" w:rsidRDefault="0026583F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</w:p>
    <w:p w14:paraId="617373FD" w14:textId="77777777" w:rsidR="0026583F" w:rsidRDefault="0026583F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</w:p>
    <w:p w14:paraId="2DF472A0" w14:textId="77777777" w:rsidR="0026583F" w:rsidRDefault="0026583F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6A5D76E9" w14:textId="49070916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EA7C567" w14:textId="10E48453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730A2F" w:rsidRPr="00730A2F">
        <w:rPr>
          <w:rFonts w:cs="Arial"/>
          <w:b/>
          <w:sz w:val="28"/>
          <w:szCs w:val="28"/>
        </w:rPr>
        <w:t>RESTCAFE/KPOD.01.03/2024/</w:t>
      </w:r>
      <w:r w:rsidR="00EA5000">
        <w:rPr>
          <w:rFonts w:cs="Arial"/>
          <w:b/>
          <w:sz w:val="28"/>
          <w:szCs w:val="28"/>
        </w:rPr>
        <w:t>7</w:t>
      </w:r>
    </w:p>
    <w:p w14:paraId="254CC474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0D196D49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2"/>
        <w:gridCol w:w="6310"/>
      </w:tblGrid>
      <w:tr w:rsidR="00D76B5A" w:rsidRPr="00387180" w14:paraId="104E3C35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382468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57D7E3E2" w14:textId="12A5FC37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00C6E233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4686E55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555D8BBE" w14:textId="04C97F7C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52275495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8E080C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07B8A890" w14:textId="412C5FAF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35D9A786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E4C1C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67EACD7A" w14:textId="5E5F99C9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539FFD02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9FC9039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6935E506" w14:textId="149B8C5D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</w:tbl>
    <w:p w14:paraId="3BBA09CC" w14:textId="77777777" w:rsidR="00BB7029" w:rsidRPr="00387180" w:rsidRDefault="00BB7029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6B16A94E" w14:textId="085C6D42" w:rsidR="00026C8C" w:rsidRPr="00D513FF" w:rsidRDefault="00026C8C" w:rsidP="0006699D">
      <w:pPr>
        <w:spacing w:after="0" w:line="360" w:lineRule="auto"/>
        <w:jc w:val="both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>dostawę</w:t>
      </w:r>
      <w:r w:rsidR="00575044" w:rsidRPr="00575044">
        <w:rPr>
          <w:rFonts w:ascii="Calibri" w:eastAsia="Calibri" w:hAnsi="Calibri" w:cs="Calibri"/>
          <w:b/>
          <w:i/>
          <w:iCs/>
        </w:rPr>
        <w:t xml:space="preserve"> </w:t>
      </w:r>
      <w:proofErr w:type="spellStart"/>
      <w:r w:rsidR="00EA5000" w:rsidRPr="00EA5000">
        <w:rPr>
          <w:rFonts w:ascii="Calibri" w:eastAsia="Calibri" w:hAnsi="Calibri" w:cs="Calibri"/>
          <w:b/>
          <w:i/>
        </w:rPr>
        <w:t>kotleciarki</w:t>
      </w:r>
      <w:proofErr w:type="spellEnd"/>
      <w:r w:rsidR="00EA5000" w:rsidRPr="00EA5000">
        <w:rPr>
          <w:rFonts w:ascii="Calibri" w:eastAsia="Calibri" w:hAnsi="Calibri" w:cs="Calibri"/>
          <w:b/>
          <w:i/>
        </w:rPr>
        <w:t xml:space="preserve"> elektrycznej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495"/>
        <w:gridCol w:w="3793"/>
      </w:tblGrid>
      <w:tr w:rsidR="006C6323" w:rsidRPr="00387180" w14:paraId="13BD93AB" w14:textId="77777777" w:rsidTr="0026583F">
        <w:trPr>
          <w:trHeight w:hRule="exact" w:val="680"/>
        </w:trPr>
        <w:tc>
          <w:tcPr>
            <w:tcW w:w="5495" w:type="dxa"/>
            <w:shd w:val="clear" w:color="auto" w:fill="C6D9F1" w:themeFill="text2" w:themeFillTint="33"/>
            <w:vAlign w:val="center"/>
          </w:tcPr>
          <w:p w14:paraId="5F69F924" w14:textId="213A05C8" w:rsidR="006C6323" w:rsidRPr="00A86CF3" w:rsidRDefault="006C6323" w:rsidP="006C6323">
            <w:pPr>
              <w:rPr>
                <w:rFonts w:eastAsia="Times New Roman" w:cs="Times New Roman"/>
                <w:i/>
              </w:rPr>
            </w:pPr>
            <w:r w:rsidRPr="00C53264">
              <w:rPr>
                <w:rFonts w:eastAsia="Times New Roman" w:cs="Times New Roman"/>
                <w:i/>
              </w:rPr>
              <w:t xml:space="preserve">Cena netto (w PLN) </w:t>
            </w:r>
          </w:p>
        </w:tc>
        <w:tc>
          <w:tcPr>
            <w:tcW w:w="3793" w:type="dxa"/>
            <w:vAlign w:val="center"/>
          </w:tcPr>
          <w:p w14:paraId="7F87B1D1" w14:textId="2E64852E" w:rsidR="006C6323" w:rsidRPr="00787882" w:rsidRDefault="006C6323" w:rsidP="006C6323">
            <w:pPr>
              <w:jc w:val="center"/>
              <w:rPr>
                <w:rFonts w:eastAsia="Times New Roman" w:cstheme="minorHAnsi"/>
              </w:rPr>
            </w:pPr>
          </w:p>
        </w:tc>
      </w:tr>
      <w:tr w:rsidR="0026583F" w:rsidRPr="00387180" w14:paraId="7FEB4C7B" w14:textId="77777777" w:rsidTr="0026583F">
        <w:trPr>
          <w:trHeight w:hRule="exact" w:val="680"/>
        </w:trPr>
        <w:tc>
          <w:tcPr>
            <w:tcW w:w="5495" w:type="dxa"/>
            <w:shd w:val="clear" w:color="auto" w:fill="C6D9F1" w:themeFill="text2" w:themeFillTint="33"/>
            <w:vAlign w:val="center"/>
          </w:tcPr>
          <w:p w14:paraId="60E6D937" w14:textId="7E4D2570" w:rsidR="0026583F" w:rsidRPr="00C53264" w:rsidRDefault="0026583F" w:rsidP="0026583F">
            <w:pPr>
              <w:rPr>
                <w:rFonts w:eastAsia="Times New Roman" w:cs="Times New Roman"/>
                <w:i/>
              </w:rPr>
            </w:pPr>
            <w:r w:rsidRPr="008C7153">
              <w:rPr>
                <w:rFonts w:eastAsia="Times New Roman" w:cstheme="minorHAnsi"/>
                <w:bCs/>
                <w:i/>
              </w:rPr>
              <w:t>Okres gwarancji (w miesiącach) – licząc od daty podpisania protokołu odbioru</w:t>
            </w:r>
          </w:p>
        </w:tc>
        <w:tc>
          <w:tcPr>
            <w:tcW w:w="3793" w:type="dxa"/>
            <w:vAlign w:val="center"/>
          </w:tcPr>
          <w:p w14:paraId="1327FB95" w14:textId="615614CB" w:rsidR="0026583F" w:rsidRPr="00787882" w:rsidRDefault="0026583F" w:rsidP="0026583F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26472855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0821B3BF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A52B7F7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7C95971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3B01E6E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0256DA2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1C90139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0CB7EDB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1D249ECD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50E74E38" w14:textId="1C5C2D41" w:rsidR="000C5C32" w:rsidRDefault="0006699D" w:rsidP="0006699D">
      <w:pPr>
        <w:spacing w:after="0" w:line="360" w:lineRule="auto"/>
        <w:rPr>
          <w:rFonts w:ascii="Calibri" w:eastAsia="Calibri" w:hAnsi="Calibri" w:cs="Calibri"/>
          <w:b/>
          <w:i/>
        </w:rPr>
      </w:pPr>
      <w:r>
        <w:rPr>
          <w:rFonts w:eastAsia="Times New Roman" w:cstheme="minorHAnsi"/>
          <w:bCs/>
          <w:i/>
          <w:iCs/>
        </w:rPr>
        <w:lastRenderedPageBreak/>
        <w:t>Arkusz z</w:t>
      </w:r>
      <w:r w:rsidR="008C7153">
        <w:rPr>
          <w:rFonts w:eastAsia="Times New Roman" w:cstheme="minorHAnsi"/>
          <w:bCs/>
          <w:i/>
          <w:iCs/>
        </w:rPr>
        <w:t>godnoś</w:t>
      </w:r>
      <w:r>
        <w:rPr>
          <w:rFonts w:eastAsia="Times New Roman" w:cstheme="minorHAnsi"/>
          <w:bCs/>
          <w:i/>
          <w:iCs/>
        </w:rPr>
        <w:t>ci</w:t>
      </w:r>
      <w:r w:rsidR="008C7153">
        <w:rPr>
          <w:rFonts w:eastAsia="Times New Roman" w:cstheme="minorHAnsi"/>
          <w:bCs/>
          <w:i/>
          <w:iCs/>
        </w:rPr>
        <w:t xml:space="preserve"> z minimalnymi, </w:t>
      </w:r>
      <w:r>
        <w:rPr>
          <w:rFonts w:eastAsia="Times New Roman" w:cstheme="minorHAnsi"/>
          <w:bCs/>
          <w:i/>
          <w:iCs/>
        </w:rPr>
        <w:t>oczekiwanymi</w:t>
      </w:r>
      <w:r w:rsidR="008C7153">
        <w:rPr>
          <w:rFonts w:eastAsia="Times New Roman" w:cstheme="minorHAnsi"/>
          <w:bCs/>
          <w:i/>
          <w:iCs/>
        </w:rPr>
        <w:t xml:space="preserve"> parametrami </w:t>
      </w:r>
      <w:proofErr w:type="spellStart"/>
      <w:r w:rsidR="00EA5000" w:rsidRPr="00EA5000">
        <w:rPr>
          <w:rFonts w:ascii="Calibri" w:eastAsia="Calibri" w:hAnsi="Calibri" w:cs="Calibri"/>
          <w:b/>
          <w:i/>
        </w:rPr>
        <w:t>kotleciarki</w:t>
      </w:r>
      <w:proofErr w:type="spellEnd"/>
      <w:r w:rsidR="00EA5000" w:rsidRPr="00EA5000">
        <w:rPr>
          <w:rFonts w:ascii="Calibri" w:eastAsia="Calibri" w:hAnsi="Calibri" w:cs="Calibri"/>
          <w:b/>
          <w:i/>
        </w:rPr>
        <w:t xml:space="preserve"> elektrycznej</w:t>
      </w:r>
    </w:p>
    <w:p w14:paraId="34547841" w14:textId="77777777" w:rsidR="000C5C32" w:rsidRDefault="000C5C32" w:rsidP="0006699D">
      <w:pPr>
        <w:spacing w:after="0" w:line="360" w:lineRule="auto"/>
        <w:rPr>
          <w:rFonts w:ascii="Calibri" w:eastAsia="Calibri" w:hAnsi="Calibri" w:cs="Calibri"/>
          <w:b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83"/>
        <w:gridCol w:w="957"/>
        <w:gridCol w:w="992"/>
        <w:gridCol w:w="2830"/>
      </w:tblGrid>
      <w:tr w:rsidR="008C7153" w14:paraId="280578CC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4AF86709" w14:textId="2F4A8F3C" w:rsidR="008C7153" w:rsidRPr="004F7AA2" w:rsidRDefault="008C7153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 xml:space="preserve">Nazwa </w:t>
            </w:r>
            <w:r w:rsidR="00BA03E5" w:rsidRPr="004F7AA2">
              <w:rPr>
                <w:rFonts w:eastAsia="Times New Roman" w:cstheme="minorHAnsi"/>
                <w:bCs/>
                <w:iCs/>
              </w:rPr>
              <w:t>urządzenia</w:t>
            </w:r>
          </w:p>
        </w:tc>
        <w:tc>
          <w:tcPr>
            <w:tcW w:w="4779" w:type="dxa"/>
            <w:gridSpan w:val="3"/>
            <w:vAlign w:val="center"/>
          </w:tcPr>
          <w:p w14:paraId="2477EE80" w14:textId="68F1D249" w:rsidR="008C7153" w:rsidRDefault="008C7153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04DAC333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0CC8A16C" w14:textId="51B5984A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Nazwa producenta</w:t>
            </w:r>
          </w:p>
        </w:tc>
        <w:tc>
          <w:tcPr>
            <w:tcW w:w="4779" w:type="dxa"/>
            <w:gridSpan w:val="3"/>
            <w:vAlign w:val="center"/>
          </w:tcPr>
          <w:p w14:paraId="07E55AD8" w14:textId="201D2692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38A01361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59DA06F0" w14:textId="51FACE89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Oznaczenie modelu</w:t>
            </w:r>
          </w:p>
        </w:tc>
        <w:tc>
          <w:tcPr>
            <w:tcW w:w="4779" w:type="dxa"/>
            <w:gridSpan w:val="3"/>
            <w:vAlign w:val="center"/>
          </w:tcPr>
          <w:p w14:paraId="1C49070C" w14:textId="195D5FAC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36FF1855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5C70C40D" w14:textId="040A0C2B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Link do strony internetowej przedstawiającej przedmiot oferty (opcjonalnie)</w:t>
            </w:r>
          </w:p>
        </w:tc>
        <w:tc>
          <w:tcPr>
            <w:tcW w:w="4779" w:type="dxa"/>
            <w:gridSpan w:val="3"/>
            <w:vAlign w:val="center"/>
          </w:tcPr>
          <w:p w14:paraId="6D1E1B02" w14:textId="2E2BF88A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0F067F" w14:paraId="6EE37714" w14:textId="77777777" w:rsidTr="001054D3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42F93E9A" w14:textId="77777777" w:rsidR="000F067F" w:rsidRDefault="000F067F" w:rsidP="008C7153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</w:p>
        </w:tc>
      </w:tr>
      <w:tr w:rsidR="008C7153" w14:paraId="616D8CD0" w14:textId="77777777" w:rsidTr="00260AD5">
        <w:tc>
          <w:tcPr>
            <w:tcW w:w="4283" w:type="dxa"/>
            <w:shd w:val="clear" w:color="auto" w:fill="C6D9F1" w:themeFill="text2" w:themeFillTint="33"/>
            <w:vAlign w:val="center"/>
          </w:tcPr>
          <w:p w14:paraId="275C3201" w14:textId="6336EE64" w:rsidR="008C7153" w:rsidRPr="004F7AA2" w:rsidRDefault="000F067F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Parametr</w:t>
            </w:r>
          </w:p>
        </w:tc>
        <w:tc>
          <w:tcPr>
            <w:tcW w:w="1949" w:type="dxa"/>
            <w:gridSpan w:val="2"/>
            <w:shd w:val="clear" w:color="auto" w:fill="C6D9F1" w:themeFill="text2" w:themeFillTint="33"/>
            <w:vAlign w:val="center"/>
          </w:tcPr>
          <w:p w14:paraId="16F70E08" w14:textId="2A7652C0" w:rsidR="008C7153" w:rsidRPr="004F7AA2" w:rsidRDefault="000F067F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Zgodność</w:t>
            </w:r>
            <w:r w:rsidR="00502597" w:rsidRPr="004F7AA2">
              <w:rPr>
                <w:rFonts w:eastAsia="Times New Roman" w:cstheme="minorHAnsi"/>
                <w:bCs/>
                <w:iCs/>
              </w:rPr>
              <w:t xml:space="preserve"> </w:t>
            </w:r>
            <w:r w:rsidR="00502597" w:rsidRPr="004F7AA2">
              <w:rPr>
                <w:rFonts w:eastAsia="Times New Roman" w:cstheme="minorHAnsi"/>
                <w:bCs/>
                <w:iCs/>
              </w:rPr>
              <w:br/>
              <w:t>(do zaznaczenia)</w:t>
            </w:r>
          </w:p>
        </w:tc>
        <w:tc>
          <w:tcPr>
            <w:tcW w:w="2830" w:type="dxa"/>
            <w:shd w:val="clear" w:color="auto" w:fill="C6D9F1" w:themeFill="text2" w:themeFillTint="33"/>
            <w:vAlign w:val="center"/>
          </w:tcPr>
          <w:p w14:paraId="1EE20F31" w14:textId="18D86599" w:rsidR="008C7153" w:rsidRPr="004F7AA2" w:rsidRDefault="00260AD5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260AD5">
              <w:rPr>
                <w:rFonts w:eastAsia="Times New Roman" w:cstheme="minorHAnsi"/>
                <w:bCs/>
                <w:iCs/>
              </w:rPr>
              <w:t xml:space="preserve">Opis zgodności z </w:t>
            </w:r>
            <w:r>
              <w:rPr>
                <w:rFonts w:eastAsia="Times New Roman" w:cstheme="minorHAnsi"/>
                <w:bCs/>
                <w:iCs/>
              </w:rPr>
              <w:br/>
            </w:r>
            <w:r w:rsidRPr="00260AD5">
              <w:rPr>
                <w:rFonts w:eastAsia="Times New Roman" w:cstheme="minorHAnsi"/>
                <w:bCs/>
                <w:iCs/>
              </w:rPr>
              <w:t xml:space="preserve">parametrem </w:t>
            </w:r>
            <w:r w:rsidRPr="00260AD5">
              <w:rPr>
                <w:rFonts w:eastAsia="Times New Roman" w:cstheme="minorHAnsi"/>
                <w:bCs/>
                <w:iCs/>
                <w:vertAlign w:val="superscript"/>
              </w:rPr>
              <w:t>1, 2</w:t>
            </w:r>
            <w:r w:rsidR="005A335E">
              <w:rPr>
                <w:rFonts w:eastAsia="Times New Roman" w:cstheme="minorHAnsi"/>
                <w:bCs/>
                <w:iCs/>
                <w:vertAlign w:val="superscript"/>
              </w:rPr>
              <w:t>, 3</w:t>
            </w:r>
          </w:p>
        </w:tc>
      </w:tr>
      <w:tr w:rsidR="00152978" w14:paraId="52CA2D3F" w14:textId="77777777" w:rsidTr="00152978">
        <w:tc>
          <w:tcPr>
            <w:tcW w:w="4283" w:type="dxa"/>
            <w:vAlign w:val="center"/>
          </w:tcPr>
          <w:p w14:paraId="42BFE260" w14:textId="44B0DAD5" w:rsidR="00152978" w:rsidRDefault="00152978" w:rsidP="00152978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3E6CDF">
              <w:rPr>
                <w:rFonts w:ascii="Calibri" w:hAnsi="Calibri"/>
              </w:rPr>
              <w:t>zasilanie elektryczne</w:t>
            </w:r>
          </w:p>
        </w:tc>
        <w:tc>
          <w:tcPr>
            <w:tcW w:w="957" w:type="dxa"/>
            <w:vAlign w:val="center"/>
          </w:tcPr>
          <w:p w14:paraId="2B571515" w14:textId="67613CE2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bookmarkStart w:id="0" w:name="Wybór1"/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bookmarkEnd w:id="0"/>
        <w:tc>
          <w:tcPr>
            <w:tcW w:w="992" w:type="dxa"/>
            <w:vAlign w:val="center"/>
          </w:tcPr>
          <w:p w14:paraId="565C5C68" w14:textId="426E75B5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  <w:bookmarkEnd w:id="1"/>
          </w:p>
        </w:tc>
        <w:tc>
          <w:tcPr>
            <w:tcW w:w="2830" w:type="dxa"/>
            <w:vAlign w:val="center"/>
          </w:tcPr>
          <w:p w14:paraId="3051F253" w14:textId="67EAA2AB" w:rsidR="00152978" w:rsidRDefault="00152978" w:rsidP="00152978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EA5000" w14:paraId="0C883BDC" w14:textId="77777777" w:rsidTr="003B5862">
        <w:tc>
          <w:tcPr>
            <w:tcW w:w="4283" w:type="dxa"/>
          </w:tcPr>
          <w:p w14:paraId="3136B496" w14:textId="5F4A5D2E" w:rsidR="00EA5000" w:rsidRDefault="00EA5000" w:rsidP="00EA5000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E4698">
              <w:rPr>
                <w:rFonts w:ascii="Calibri" w:hAnsi="Calibri"/>
              </w:rPr>
              <w:t>rodzaj obróbki: nacinanie i zmiękczanie mięsa, urządzenie przystosowane do obróbki mięsa białego oraz czerwonego</w:t>
            </w:r>
          </w:p>
        </w:tc>
        <w:tc>
          <w:tcPr>
            <w:tcW w:w="957" w:type="dxa"/>
            <w:vAlign w:val="center"/>
          </w:tcPr>
          <w:p w14:paraId="55CFF390" w14:textId="02526279" w:rsidR="00EA5000" w:rsidRDefault="00EA5000" w:rsidP="00EA5000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ABAAB25" w14:textId="3AF53AFE" w:rsidR="00EA5000" w:rsidRDefault="00EA5000" w:rsidP="00EA5000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06447D51" w14:textId="2F6F6079" w:rsidR="00EA5000" w:rsidRDefault="00EA5000" w:rsidP="00EA5000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EA5000" w14:paraId="5FB8FD5C" w14:textId="77777777" w:rsidTr="003B5862">
        <w:tc>
          <w:tcPr>
            <w:tcW w:w="4283" w:type="dxa"/>
          </w:tcPr>
          <w:p w14:paraId="616D1992" w14:textId="42E59603" w:rsidR="00EA5000" w:rsidRDefault="00EA5000" w:rsidP="00EA5000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E4698">
              <w:rPr>
                <w:rFonts w:ascii="Calibri" w:hAnsi="Calibri"/>
              </w:rPr>
              <w:t>dostosowana do pracy ciągłej</w:t>
            </w:r>
          </w:p>
        </w:tc>
        <w:tc>
          <w:tcPr>
            <w:tcW w:w="957" w:type="dxa"/>
            <w:vAlign w:val="center"/>
          </w:tcPr>
          <w:p w14:paraId="6F21843C" w14:textId="2D7D1C94" w:rsidR="00EA5000" w:rsidRDefault="00EA5000" w:rsidP="00EA5000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17AEE26" w14:textId="0A30BBF5" w:rsidR="00EA5000" w:rsidRDefault="00EA5000" w:rsidP="00EA5000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540F0829" w14:textId="5ED4E071" w:rsidR="00EA5000" w:rsidRDefault="00EA5000" w:rsidP="00EA5000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EA5000" w14:paraId="46D3DD06" w14:textId="77777777" w:rsidTr="003B5862">
        <w:tc>
          <w:tcPr>
            <w:tcW w:w="4283" w:type="dxa"/>
          </w:tcPr>
          <w:p w14:paraId="7977DA25" w14:textId="7CB8C4EE" w:rsidR="00EA5000" w:rsidRDefault="00EA5000" w:rsidP="00EA5000">
            <w:pPr>
              <w:rPr>
                <w:rFonts w:eastAsia="Times New Roman" w:cstheme="minorHAnsi"/>
                <w:bCs/>
                <w:iCs/>
              </w:rPr>
            </w:pPr>
            <w:r w:rsidRPr="006E4698">
              <w:rPr>
                <w:rFonts w:ascii="Calibri" w:hAnsi="Calibri"/>
              </w:rPr>
              <w:t>materiał wykonania: stal nierdzewna oraz aluminium</w:t>
            </w:r>
          </w:p>
        </w:tc>
        <w:tc>
          <w:tcPr>
            <w:tcW w:w="957" w:type="dxa"/>
            <w:vAlign w:val="center"/>
          </w:tcPr>
          <w:p w14:paraId="05F8BE2C" w14:textId="0BAF4D88" w:rsidR="00EA5000" w:rsidRDefault="00EA5000" w:rsidP="00EA5000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2A453DC" w14:textId="417D9595" w:rsidR="00EA5000" w:rsidRDefault="00EA5000" w:rsidP="00EA5000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6531E966" w14:textId="27B32AC4" w:rsidR="00EA5000" w:rsidRDefault="00EA5000" w:rsidP="00EA5000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EA5000" w14:paraId="525C639E" w14:textId="77777777" w:rsidTr="003B5862">
        <w:tc>
          <w:tcPr>
            <w:tcW w:w="4283" w:type="dxa"/>
          </w:tcPr>
          <w:p w14:paraId="56DCA4E9" w14:textId="5767E87A" w:rsidR="00EA5000" w:rsidRDefault="00EA5000" w:rsidP="00EA5000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E4698">
              <w:rPr>
                <w:rFonts w:ascii="Calibri" w:hAnsi="Calibri"/>
              </w:rPr>
              <w:t>lej wlotowy: szerokość leja pozwalająca na bezproblemową i sprawną obróbkę dużych porcji bez konieczności manualnego popychania</w:t>
            </w:r>
          </w:p>
        </w:tc>
        <w:tc>
          <w:tcPr>
            <w:tcW w:w="957" w:type="dxa"/>
            <w:vAlign w:val="center"/>
          </w:tcPr>
          <w:p w14:paraId="4B451D70" w14:textId="4AD3B8C2" w:rsidR="00EA5000" w:rsidRDefault="00EA5000" w:rsidP="00EA5000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9AF6D76" w14:textId="02C70B03" w:rsidR="00EA5000" w:rsidRDefault="00EA5000" w:rsidP="00EA5000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0A073A83" w14:textId="1F7C6145" w:rsidR="00EA5000" w:rsidRDefault="00EA5000" w:rsidP="00EA5000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EA5000" w14:paraId="55ABCADD" w14:textId="77777777" w:rsidTr="003B5862">
        <w:tc>
          <w:tcPr>
            <w:tcW w:w="4283" w:type="dxa"/>
          </w:tcPr>
          <w:p w14:paraId="712560F6" w14:textId="484E80A3" w:rsidR="00EA5000" w:rsidRDefault="00EA5000" w:rsidP="00EA5000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E4698">
              <w:rPr>
                <w:rFonts w:ascii="Calibri" w:hAnsi="Calibri"/>
              </w:rPr>
              <w:t>konstrukcja: umożliwiająca łatwy demontaż, czyszczenie oraz łatwą wymianę modułu nacinającego</w:t>
            </w:r>
          </w:p>
        </w:tc>
        <w:tc>
          <w:tcPr>
            <w:tcW w:w="957" w:type="dxa"/>
            <w:vAlign w:val="center"/>
          </w:tcPr>
          <w:p w14:paraId="4205A42B" w14:textId="65622772" w:rsidR="00EA5000" w:rsidRDefault="00EA5000" w:rsidP="00EA5000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77E78D" w14:textId="6ECB047C" w:rsidR="00EA5000" w:rsidRDefault="00EA5000" w:rsidP="00EA5000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2BFAF593" w14:textId="01AC5329" w:rsidR="00EA5000" w:rsidRDefault="00EA5000" w:rsidP="00EA5000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152978" w14:paraId="351DE2E3" w14:textId="77777777" w:rsidTr="00152978">
        <w:trPr>
          <w:trHeight w:val="429"/>
        </w:trPr>
        <w:tc>
          <w:tcPr>
            <w:tcW w:w="4283" w:type="dxa"/>
            <w:vAlign w:val="center"/>
          </w:tcPr>
          <w:p w14:paraId="417C194C" w14:textId="77777777" w:rsidR="00152978" w:rsidRDefault="00152978" w:rsidP="00152978">
            <w:pPr>
              <w:rPr>
                <w:rFonts w:ascii="Calibri" w:hAnsi="Calibri"/>
              </w:rPr>
            </w:pPr>
            <w:r w:rsidRPr="00643A92">
              <w:rPr>
                <w:rFonts w:ascii="Calibri" w:hAnsi="Calibri"/>
              </w:rPr>
              <w:t xml:space="preserve">urządzenie musi posiadać rozwiązania w zakresie dostępności dla osób niepełnosprawnych, w tym: </w:t>
            </w:r>
          </w:p>
          <w:p w14:paraId="1A4F6B0A" w14:textId="77777777" w:rsidR="00152978" w:rsidRDefault="00152978" w:rsidP="001529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643A92">
              <w:rPr>
                <w:rFonts w:ascii="Calibri" w:hAnsi="Calibri"/>
              </w:rPr>
              <w:t xml:space="preserve">zastosowanie odpowiedniej formy komunikatów pisanych (w celu prostej interakcji użytkownika z urządzeniem), </w:t>
            </w:r>
          </w:p>
          <w:p w14:paraId="7AE5B378" w14:textId="2A9B688B" w:rsidR="00152978" w:rsidRPr="003E6CDF" w:rsidRDefault="00152978" w:rsidP="001529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643A92">
              <w:rPr>
                <w:rFonts w:ascii="Calibri" w:hAnsi="Calibri"/>
              </w:rPr>
              <w:t>instrukcję obsługi przygotowaną w języku łatwym do czytania (lub w innych wersjach alternatywnych)</w:t>
            </w:r>
          </w:p>
        </w:tc>
        <w:tc>
          <w:tcPr>
            <w:tcW w:w="957" w:type="dxa"/>
            <w:vAlign w:val="center"/>
          </w:tcPr>
          <w:p w14:paraId="5923087D" w14:textId="3BB3C4B6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0099407" w14:textId="7A8E5813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7A80AA9B" w14:textId="77777777" w:rsidR="00152978" w:rsidRPr="00730A2F" w:rsidRDefault="00152978" w:rsidP="00152978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B572FD" w14:paraId="4ADC4D1B" w14:textId="77777777" w:rsidTr="00CF24DD">
        <w:trPr>
          <w:trHeight w:val="1305"/>
        </w:trPr>
        <w:tc>
          <w:tcPr>
            <w:tcW w:w="9062" w:type="dxa"/>
            <w:gridSpan w:val="4"/>
            <w:shd w:val="clear" w:color="auto" w:fill="C6D9F1" w:themeFill="text2" w:themeFillTint="33"/>
            <w:vAlign w:val="center"/>
          </w:tcPr>
          <w:p w14:paraId="728810CF" w14:textId="77777777" w:rsidR="00260AD5" w:rsidRPr="00FD4390" w:rsidRDefault="00260AD5" w:rsidP="00260AD5">
            <w:pPr>
              <w:spacing w:before="120" w:after="120"/>
              <w:rPr>
                <w:rFonts w:eastAsia="Times New Roman" w:cstheme="minorHAnsi"/>
                <w:b/>
                <w:iCs/>
              </w:rPr>
            </w:pPr>
            <w:r w:rsidRPr="00260AD5">
              <w:rPr>
                <w:rFonts w:eastAsia="Times New Roman" w:cstheme="minorHAnsi"/>
                <w:b/>
                <w:iCs/>
                <w:vertAlign w:val="superscript"/>
              </w:rPr>
              <w:t xml:space="preserve">1 </w:t>
            </w:r>
            <w:r w:rsidRPr="00260AD5">
              <w:rPr>
                <w:rFonts w:eastAsia="Times New Roman" w:cstheme="minorHAnsi"/>
                <w:b/>
                <w:iCs/>
              </w:rPr>
              <w:t xml:space="preserve">W przypadku parametru mierzalnego w polu Opis zgodności z parametrem należy wpisać </w:t>
            </w:r>
            <w:r w:rsidRPr="00260AD5">
              <w:rPr>
                <w:rFonts w:eastAsia="Times New Roman" w:cstheme="minorHAnsi"/>
                <w:b/>
                <w:iCs/>
                <w:u w:val="single"/>
              </w:rPr>
              <w:t>dokładną wartość</w:t>
            </w:r>
            <w:r w:rsidRPr="00260AD5">
              <w:rPr>
                <w:rFonts w:eastAsia="Times New Roman" w:cstheme="minorHAnsi"/>
                <w:b/>
                <w:iCs/>
              </w:rPr>
              <w:t xml:space="preserve"> spełnionego parametru zgodnie z przedstawianą Ofertą</w:t>
            </w:r>
            <w:r w:rsidRPr="00FD4390">
              <w:rPr>
                <w:rFonts w:eastAsia="Times New Roman" w:cstheme="minorHAnsi"/>
                <w:bCs/>
                <w:iCs/>
              </w:rPr>
              <w:t>. Przykładowo</w:t>
            </w:r>
            <w:r w:rsidRPr="00FD4390">
              <w:rPr>
                <w:rFonts w:eastAsia="Times New Roman" w:cstheme="minorHAnsi"/>
                <w:b/>
                <w:iCs/>
              </w:rPr>
              <w:t>:</w:t>
            </w:r>
            <w:r>
              <w:rPr>
                <w:rFonts w:eastAsia="Times New Roman" w:cstheme="minorHAnsi"/>
                <w:b/>
                <w:iCs/>
              </w:rPr>
              <w:br/>
            </w:r>
            <w:r>
              <w:rPr>
                <w:rFonts w:eastAsia="Times New Roman" w:cstheme="minorHAnsi"/>
                <w:bCs/>
                <w:iCs/>
              </w:rPr>
              <w:t>Parametr: maksymalna długość urządzenia – 6000 mm; Opis zgodności z parametrem: długość urządzenia wynosi 4550 mm</w:t>
            </w:r>
          </w:p>
          <w:p w14:paraId="61CECA91" w14:textId="77777777" w:rsidR="00FD4390" w:rsidRDefault="00260AD5" w:rsidP="00260AD5">
            <w:pPr>
              <w:spacing w:before="120" w:after="120"/>
              <w:rPr>
                <w:rFonts w:eastAsia="Times New Roman" w:cstheme="minorHAnsi"/>
                <w:bCs/>
                <w:iCs/>
              </w:rPr>
            </w:pPr>
            <w:r w:rsidRPr="00260AD5">
              <w:rPr>
                <w:rFonts w:eastAsia="Times New Roman" w:cstheme="minorHAnsi"/>
                <w:b/>
                <w:iCs/>
                <w:vertAlign w:val="superscript"/>
              </w:rPr>
              <w:t xml:space="preserve">2 </w:t>
            </w:r>
            <w:r w:rsidRPr="00260AD5">
              <w:rPr>
                <w:rFonts w:eastAsia="Times New Roman" w:cstheme="minorHAnsi"/>
                <w:b/>
                <w:iCs/>
              </w:rPr>
              <w:t xml:space="preserve">W przypadku parametru niemierzalnego w polu Opis zgodności z parametrem należy </w:t>
            </w:r>
            <w:r w:rsidRPr="00260AD5">
              <w:rPr>
                <w:rFonts w:eastAsia="Times New Roman" w:cstheme="minorHAnsi"/>
                <w:b/>
                <w:iCs/>
                <w:u w:val="single"/>
              </w:rPr>
              <w:t>opisać sposób</w:t>
            </w:r>
            <w:r w:rsidRPr="00260AD5">
              <w:rPr>
                <w:rFonts w:eastAsia="Times New Roman" w:cstheme="minorHAnsi"/>
                <w:b/>
                <w:iCs/>
              </w:rPr>
              <w:t xml:space="preserve"> spełnienia parametru przez przedmiot Oferty</w:t>
            </w:r>
            <w:r>
              <w:rPr>
                <w:rFonts w:eastAsia="Times New Roman" w:cstheme="minorHAnsi"/>
                <w:bCs/>
                <w:iCs/>
              </w:rPr>
              <w:t>. Przykładowo:</w:t>
            </w:r>
            <w:r>
              <w:rPr>
                <w:rFonts w:eastAsia="Times New Roman" w:cstheme="minorHAnsi"/>
                <w:bCs/>
                <w:iCs/>
              </w:rPr>
              <w:br/>
              <w:t>Parametr: materiał wykonania – stal nierdzewna; Opis zgodności z parametrem: urządzenie wykonane jest ze stali nierdzewnej AISI 316</w:t>
            </w:r>
          </w:p>
          <w:p w14:paraId="71B86A8B" w14:textId="08AE375F" w:rsidR="005A335E" w:rsidRPr="00FD4390" w:rsidRDefault="005A335E" w:rsidP="00260AD5">
            <w:pPr>
              <w:spacing w:before="120" w:after="120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="Calibri"/>
                <w:b/>
                <w:iCs/>
                <w:vertAlign w:val="superscript"/>
              </w:rPr>
              <w:lastRenderedPageBreak/>
              <w:t xml:space="preserve">3 </w:t>
            </w:r>
            <w:r>
              <w:rPr>
                <w:rFonts w:eastAsia="Times New Roman" w:cs="Calibri"/>
                <w:b/>
                <w:iCs/>
              </w:rPr>
              <w:t xml:space="preserve">W przypadku parametru dotyczącego rozwiązań w zakresie dostępności dla osób niepełnosprawnych w polu Opis zgodności z parametrem należy </w:t>
            </w:r>
            <w:r>
              <w:rPr>
                <w:rFonts w:eastAsia="Times New Roman" w:cs="Calibri"/>
                <w:b/>
                <w:iCs/>
                <w:u w:val="single"/>
              </w:rPr>
              <w:t>szczegółowo opisać sposób spełnienia parametru przez przedmiot Oferty w odniesieniu do każdego elementu składowego parametru</w:t>
            </w:r>
            <w:r>
              <w:rPr>
                <w:rFonts w:eastAsia="Times New Roman" w:cs="Calibri"/>
                <w:bCs/>
                <w:iCs/>
              </w:rPr>
              <w:t>.</w:t>
            </w:r>
          </w:p>
        </w:tc>
      </w:tr>
    </w:tbl>
    <w:p w14:paraId="6C21BE8C" w14:textId="77777777" w:rsidR="000C5C32" w:rsidRPr="008C7153" w:rsidRDefault="000C5C32" w:rsidP="00D76B5A">
      <w:pPr>
        <w:spacing w:after="0" w:line="360" w:lineRule="auto"/>
        <w:jc w:val="both"/>
        <w:rPr>
          <w:rFonts w:eastAsia="Times New Roman" w:cstheme="minorHAnsi"/>
          <w:bCs/>
          <w:iCs/>
        </w:rPr>
      </w:pPr>
    </w:p>
    <w:p w14:paraId="12E3088B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2ACB70CC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59B313B4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4607D92D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C448A0">
        <w:rPr>
          <w:rFonts w:eastAsia="Times New Roman" w:cs="Times New Roman"/>
          <w:sz w:val="18"/>
          <w:szCs w:val="18"/>
        </w:rPr>
        <w:t>3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362365B2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0701290C" w14:textId="77777777" w:rsidR="00E47F12" w:rsidRPr="001C6FF5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3B5AA1FD" w14:textId="77777777" w:rsidR="0058327B" w:rsidRDefault="0058327B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2ACB823A" w14:textId="77777777" w:rsidR="00C46C7C" w:rsidRDefault="00C46C7C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1F0527CD" w14:textId="77777777" w:rsidR="0058327B" w:rsidRPr="00DD5144" w:rsidRDefault="0058327B" w:rsidP="0058327B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23D4A27D" w14:textId="77777777" w:rsidR="0058327B" w:rsidRPr="00DD5144" w:rsidRDefault="0058327B" w:rsidP="0058327B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767C4747" w14:textId="77777777" w:rsidR="00C46C7C" w:rsidRDefault="00C46C7C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03238331" w14:textId="77777777" w:rsidR="00B07CED" w:rsidRDefault="00B07CED" w:rsidP="00C75DB6">
      <w:pPr>
        <w:spacing w:after="0" w:line="360" w:lineRule="auto"/>
        <w:rPr>
          <w:rFonts w:eastAsia="Times New Roman" w:cs="Times New Roman"/>
          <w:b/>
        </w:rPr>
      </w:pPr>
    </w:p>
    <w:p w14:paraId="47B00E5E" w14:textId="77777777" w:rsidR="00A77A23" w:rsidRDefault="00A77A23" w:rsidP="003F662F">
      <w:pPr>
        <w:spacing w:after="0" w:line="360" w:lineRule="auto"/>
        <w:rPr>
          <w:rFonts w:eastAsia="Times New Roman" w:cs="Times New Roman"/>
          <w:b/>
        </w:rPr>
      </w:pPr>
    </w:p>
    <w:p w14:paraId="6F743606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1596CA4D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0BCB0A8F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624225DD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67DCB3DE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5F33C204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5CF9B0B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F142C6D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7BF67F8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1C9B2DE1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7EBE343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07DCF949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0E5DC8A5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441345B0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1FE30F4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662B6D7C" w14:textId="77777777" w:rsidR="009F1F86" w:rsidRDefault="009F1F86" w:rsidP="003F662F">
      <w:pPr>
        <w:spacing w:after="0" w:line="360" w:lineRule="auto"/>
        <w:rPr>
          <w:rFonts w:eastAsia="Times New Roman" w:cs="Times New Roman"/>
          <w:b/>
        </w:rPr>
      </w:pPr>
    </w:p>
    <w:p w14:paraId="2DBC46DF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1FD92BD5" w14:textId="18C76149" w:rsidR="0058327B" w:rsidRPr="00E01988" w:rsidRDefault="0058327B" w:rsidP="0058327B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9734592" w14:textId="01ABA6D2" w:rsidR="0058327B" w:rsidRPr="008702BB" w:rsidRDefault="00730A2F" w:rsidP="0058327B">
      <w:pPr>
        <w:spacing w:after="0" w:line="360" w:lineRule="auto"/>
        <w:ind w:left="3540" w:firstLine="708"/>
        <w:jc w:val="right"/>
        <w:rPr>
          <w:rFonts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……………………</w:t>
      </w:r>
      <w:r w:rsidR="00C90D53" w:rsidRPr="008702BB">
        <w:rPr>
          <w:rFonts w:eastAsia="Cambria" w:cs="Times New Roman"/>
          <w:sz w:val="18"/>
          <w:szCs w:val="18"/>
        </w:rPr>
        <w:t xml:space="preserve"> </w:t>
      </w:r>
      <w:r w:rsidR="0058327B" w:rsidRPr="008702BB">
        <w:rPr>
          <w:rFonts w:eastAsia="Cambria" w:cs="Times New Roman"/>
          <w:sz w:val="18"/>
          <w:szCs w:val="18"/>
        </w:rPr>
        <w:t>(miejscowość, data)</w:t>
      </w:r>
    </w:p>
    <w:p w14:paraId="0640DEEA" w14:textId="77777777" w:rsidR="0058327B" w:rsidRPr="00E01988" w:rsidRDefault="0058327B" w:rsidP="0058327B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2ACEDD1F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1B46791" w14:textId="6C5598AC" w:rsidR="0058327B" w:rsidRPr="00440B3D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00F5CDC4" w14:textId="77777777" w:rsidR="0058327B" w:rsidRPr="00E01988" w:rsidRDefault="0058327B" w:rsidP="0058327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70E3927F" w14:textId="6C7983EE" w:rsidR="0058327B" w:rsidRPr="008702BB" w:rsidRDefault="0058327B" w:rsidP="0058327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</w:t>
      </w:r>
      <w:proofErr w:type="gramStart"/>
      <w:r w:rsidRPr="008702BB">
        <w:rPr>
          <w:rFonts w:eastAsia="Tahoma" w:cs="Times New Roman"/>
          <w:sz w:val="18"/>
          <w:szCs w:val="18"/>
        </w:rPr>
        <w:t>Oferent</w:t>
      </w:r>
      <w:proofErr w:type="gramEnd"/>
      <w:r w:rsidRPr="008702BB">
        <w:rPr>
          <w:rFonts w:eastAsia="Tahoma" w:cs="Times New Roman"/>
          <w:sz w:val="18"/>
          <w:szCs w:val="18"/>
        </w:rPr>
        <w:t xml:space="preserve">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65780F1C" w14:textId="0E51ED25" w:rsidR="0058327B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8327B" w:rsidRPr="008702BB">
        <w:rPr>
          <w:rFonts w:eastAsia="Tahoma" w:cs="Times New Roman"/>
          <w:sz w:val="18"/>
          <w:szCs w:val="18"/>
        </w:rPr>
        <w:t>,</w:t>
      </w:r>
    </w:p>
    <w:p w14:paraId="2F320F54" w14:textId="09CDE5A6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A85173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 w:rsidR="00A85173"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55628B9" w14:textId="2C2004D2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 w:rsidR="00FF0B49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69C0209D" w14:textId="77777777" w:rsidR="0058327B" w:rsidRDefault="0058327B" w:rsidP="0058327B">
      <w:pPr>
        <w:jc w:val="both"/>
        <w:rPr>
          <w:rFonts w:cs="Times New Roman"/>
        </w:rPr>
      </w:pPr>
    </w:p>
    <w:p w14:paraId="0AB009CB" w14:textId="77777777" w:rsidR="0058327B" w:rsidRPr="00DD5144" w:rsidRDefault="0058327B" w:rsidP="0058327B">
      <w:pPr>
        <w:jc w:val="both"/>
        <w:rPr>
          <w:rFonts w:cs="Times New Roman"/>
        </w:rPr>
      </w:pPr>
    </w:p>
    <w:p w14:paraId="1E7473A9" w14:textId="77777777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485D5BC" w14:textId="77777777" w:rsidR="0058327B" w:rsidRPr="008702BB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D65881B" w14:textId="77777777" w:rsidR="0058327B" w:rsidRPr="001C3918" w:rsidRDefault="0058327B" w:rsidP="0058327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739E7746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4B23428F" w14:textId="36FBC417" w:rsidR="0058327B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22BD3E1E" w14:textId="77777777" w:rsidR="0058327B" w:rsidRDefault="0058327B" w:rsidP="005832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104DA64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23B11D5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6F27FA9B" w14:textId="77777777" w:rsidR="0058327B" w:rsidRPr="008702BB" w:rsidRDefault="0058327B" w:rsidP="0058327B">
      <w:pPr>
        <w:jc w:val="both"/>
        <w:rPr>
          <w:rFonts w:cs="Times New Roman"/>
          <w:sz w:val="18"/>
          <w:szCs w:val="18"/>
        </w:rPr>
      </w:pPr>
    </w:p>
    <w:p w14:paraId="731162A5" w14:textId="77777777" w:rsidR="00F755DC" w:rsidRDefault="00F755DC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485ECA5" w14:textId="77777777" w:rsidR="008702BB" w:rsidRPr="008702BB" w:rsidRDefault="008702B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289B66C0" w14:textId="652C6451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58538365" w14:textId="65E83B6C" w:rsidR="0058327B" w:rsidRPr="00E01988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sectPr w:rsidR="0058327B" w:rsidRPr="00E01988" w:rsidSect="00960637">
      <w:headerReference w:type="default" r:id="rId8"/>
      <w:footerReference w:type="default" r:id="rId9"/>
      <w:pgSz w:w="11906" w:h="16838"/>
      <w:pgMar w:top="1134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75792" w14:textId="77777777" w:rsidR="005C021A" w:rsidRDefault="005C021A" w:rsidP="007C3F4C">
      <w:pPr>
        <w:spacing w:after="0" w:line="240" w:lineRule="auto"/>
      </w:pPr>
      <w:r>
        <w:separator/>
      </w:r>
    </w:p>
  </w:endnote>
  <w:endnote w:type="continuationSeparator" w:id="0">
    <w:p w14:paraId="77ECA687" w14:textId="77777777" w:rsidR="005C021A" w:rsidRDefault="005C021A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2CB7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2C954E29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A1CC4" w14:textId="77777777" w:rsidR="005C021A" w:rsidRDefault="005C021A" w:rsidP="007C3F4C">
      <w:pPr>
        <w:spacing w:after="0" w:line="240" w:lineRule="auto"/>
      </w:pPr>
      <w:r>
        <w:separator/>
      </w:r>
    </w:p>
  </w:footnote>
  <w:footnote w:type="continuationSeparator" w:id="0">
    <w:p w14:paraId="61132093" w14:textId="77777777" w:rsidR="005C021A" w:rsidRDefault="005C021A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B630" w14:textId="612C717F" w:rsidR="00277F15" w:rsidRDefault="00D14583" w:rsidP="00413333">
    <w:pPr>
      <w:pStyle w:val="Nagwek"/>
      <w:jc w:val="center"/>
    </w:pPr>
    <w:r>
      <w:rPr>
        <w:noProof/>
      </w:rPr>
      <w:drawing>
        <wp:inline distT="0" distB="0" distL="0" distR="0" wp14:anchorId="010AFB1E" wp14:editId="6BDD0D8B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4124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E260A"/>
    <w:multiLevelType w:val="hybridMultilevel"/>
    <w:tmpl w:val="1D42B7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C2F46"/>
    <w:multiLevelType w:val="hybridMultilevel"/>
    <w:tmpl w:val="E5A6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021A1"/>
    <w:multiLevelType w:val="hybridMultilevel"/>
    <w:tmpl w:val="FA0EA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89138">
    <w:abstractNumId w:val="6"/>
  </w:num>
  <w:num w:numId="2" w16cid:durableId="614404615">
    <w:abstractNumId w:val="3"/>
  </w:num>
  <w:num w:numId="3" w16cid:durableId="20839139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0064323">
    <w:abstractNumId w:val="11"/>
  </w:num>
  <w:num w:numId="5" w16cid:durableId="2056734542">
    <w:abstractNumId w:val="7"/>
  </w:num>
  <w:num w:numId="6" w16cid:durableId="2059015323">
    <w:abstractNumId w:val="13"/>
  </w:num>
  <w:num w:numId="7" w16cid:durableId="323247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734848">
    <w:abstractNumId w:val="5"/>
  </w:num>
  <w:num w:numId="9" w16cid:durableId="745422682">
    <w:abstractNumId w:val="14"/>
  </w:num>
  <w:num w:numId="10" w16cid:durableId="512185597">
    <w:abstractNumId w:val="9"/>
  </w:num>
  <w:num w:numId="11" w16cid:durableId="1905945767">
    <w:abstractNumId w:val="10"/>
  </w:num>
  <w:num w:numId="12" w16cid:durableId="1152866895">
    <w:abstractNumId w:val="2"/>
  </w:num>
  <w:num w:numId="13" w16cid:durableId="249049626">
    <w:abstractNumId w:val="8"/>
  </w:num>
  <w:num w:numId="14" w16cid:durableId="450511357">
    <w:abstractNumId w:val="1"/>
  </w:num>
  <w:num w:numId="15" w16cid:durableId="95371979">
    <w:abstractNumId w:val="12"/>
  </w:num>
  <w:num w:numId="16" w16cid:durableId="1433816565">
    <w:abstractNumId w:val="15"/>
  </w:num>
  <w:num w:numId="17" w16cid:durableId="2696262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5A"/>
    <w:rsid w:val="00005226"/>
    <w:rsid w:val="00005EB9"/>
    <w:rsid w:val="00012C89"/>
    <w:rsid w:val="00013B44"/>
    <w:rsid w:val="00015C60"/>
    <w:rsid w:val="00026C8C"/>
    <w:rsid w:val="00033B7C"/>
    <w:rsid w:val="00052AAF"/>
    <w:rsid w:val="0005386F"/>
    <w:rsid w:val="00062A40"/>
    <w:rsid w:val="00063865"/>
    <w:rsid w:val="0006699D"/>
    <w:rsid w:val="000715B6"/>
    <w:rsid w:val="00072FBD"/>
    <w:rsid w:val="00073158"/>
    <w:rsid w:val="0007517C"/>
    <w:rsid w:val="000913E5"/>
    <w:rsid w:val="00095E03"/>
    <w:rsid w:val="000A29D6"/>
    <w:rsid w:val="000A47EF"/>
    <w:rsid w:val="000A7B56"/>
    <w:rsid w:val="000B121B"/>
    <w:rsid w:val="000B327B"/>
    <w:rsid w:val="000B62D7"/>
    <w:rsid w:val="000C3118"/>
    <w:rsid w:val="000C31AB"/>
    <w:rsid w:val="000C37F2"/>
    <w:rsid w:val="000C4FF5"/>
    <w:rsid w:val="000C5C32"/>
    <w:rsid w:val="000D56D9"/>
    <w:rsid w:val="000D7DF0"/>
    <w:rsid w:val="000E1A68"/>
    <w:rsid w:val="000E1C84"/>
    <w:rsid w:val="000E2B47"/>
    <w:rsid w:val="000E37D7"/>
    <w:rsid w:val="000E55B3"/>
    <w:rsid w:val="000F067F"/>
    <w:rsid w:val="000F2AA8"/>
    <w:rsid w:val="0010247D"/>
    <w:rsid w:val="001054D3"/>
    <w:rsid w:val="0011206D"/>
    <w:rsid w:val="00114DB0"/>
    <w:rsid w:val="001262BC"/>
    <w:rsid w:val="00126784"/>
    <w:rsid w:val="00132084"/>
    <w:rsid w:val="00134002"/>
    <w:rsid w:val="001343E7"/>
    <w:rsid w:val="00141891"/>
    <w:rsid w:val="00150BFF"/>
    <w:rsid w:val="00151A98"/>
    <w:rsid w:val="00152978"/>
    <w:rsid w:val="001568C8"/>
    <w:rsid w:val="001606C0"/>
    <w:rsid w:val="0016308C"/>
    <w:rsid w:val="00164DE1"/>
    <w:rsid w:val="00166A53"/>
    <w:rsid w:val="00167732"/>
    <w:rsid w:val="00185751"/>
    <w:rsid w:val="001919BA"/>
    <w:rsid w:val="00194F14"/>
    <w:rsid w:val="00195CF6"/>
    <w:rsid w:val="001970D0"/>
    <w:rsid w:val="001C3918"/>
    <w:rsid w:val="001C5D9B"/>
    <w:rsid w:val="001C6FF5"/>
    <w:rsid w:val="001D4BC7"/>
    <w:rsid w:val="001D6F88"/>
    <w:rsid w:val="00207AE6"/>
    <w:rsid w:val="00207D81"/>
    <w:rsid w:val="002148CD"/>
    <w:rsid w:val="00223EFA"/>
    <w:rsid w:val="0023646A"/>
    <w:rsid w:val="00241D1D"/>
    <w:rsid w:val="002426AA"/>
    <w:rsid w:val="00260AD5"/>
    <w:rsid w:val="0026583F"/>
    <w:rsid w:val="002701F7"/>
    <w:rsid w:val="00271E52"/>
    <w:rsid w:val="00277F15"/>
    <w:rsid w:val="0028305C"/>
    <w:rsid w:val="002837D9"/>
    <w:rsid w:val="00287405"/>
    <w:rsid w:val="00293700"/>
    <w:rsid w:val="002A16B9"/>
    <w:rsid w:val="002A288A"/>
    <w:rsid w:val="002A3609"/>
    <w:rsid w:val="002A45BB"/>
    <w:rsid w:val="002B370D"/>
    <w:rsid w:val="002C37FD"/>
    <w:rsid w:val="002C7BB3"/>
    <w:rsid w:val="002D13ED"/>
    <w:rsid w:val="002D150F"/>
    <w:rsid w:val="002D2E55"/>
    <w:rsid w:val="002D558B"/>
    <w:rsid w:val="002E2DB4"/>
    <w:rsid w:val="002F49D9"/>
    <w:rsid w:val="00304520"/>
    <w:rsid w:val="00310003"/>
    <w:rsid w:val="00326B8C"/>
    <w:rsid w:val="00327B53"/>
    <w:rsid w:val="00331604"/>
    <w:rsid w:val="003407BB"/>
    <w:rsid w:val="00346285"/>
    <w:rsid w:val="00346896"/>
    <w:rsid w:val="0035074B"/>
    <w:rsid w:val="00360F17"/>
    <w:rsid w:val="00365382"/>
    <w:rsid w:val="0036648C"/>
    <w:rsid w:val="003739FD"/>
    <w:rsid w:val="003825F9"/>
    <w:rsid w:val="0038353C"/>
    <w:rsid w:val="003876EE"/>
    <w:rsid w:val="003A61B8"/>
    <w:rsid w:val="003B179E"/>
    <w:rsid w:val="003B7417"/>
    <w:rsid w:val="003C2B63"/>
    <w:rsid w:val="003E68DE"/>
    <w:rsid w:val="003F0F37"/>
    <w:rsid w:val="003F1890"/>
    <w:rsid w:val="003F4E2C"/>
    <w:rsid w:val="003F662F"/>
    <w:rsid w:val="00413333"/>
    <w:rsid w:val="004154FB"/>
    <w:rsid w:val="00426515"/>
    <w:rsid w:val="004304E9"/>
    <w:rsid w:val="00430779"/>
    <w:rsid w:val="0043523F"/>
    <w:rsid w:val="00440B3D"/>
    <w:rsid w:val="00455474"/>
    <w:rsid w:val="004A37B5"/>
    <w:rsid w:val="004A4336"/>
    <w:rsid w:val="004A6101"/>
    <w:rsid w:val="004B02E0"/>
    <w:rsid w:val="004B2418"/>
    <w:rsid w:val="004B3DD8"/>
    <w:rsid w:val="004B767A"/>
    <w:rsid w:val="004C7E5A"/>
    <w:rsid w:val="004D2911"/>
    <w:rsid w:val="004D36B0"/>
    <w:rsid w:val="004E5014"/>
    <w:rsid w:val="004F13E6"/>
    <w:rsid w:val="004F7AA2"/>
    <w:rsid w:val="00502597"/>
    <w:rsid w:val="005313BC"/>
    <w:rsid w:val="00545451"/>
    <w:rsid w:val="00545588"/>
    <w:rsid w:val="00555CBD"/>
    <w:rsid w:val="00555EF1"/>
    <w:rsid w:val="00556994"/>
    <w:rsid w:val="00557424"/>
    <w:rsid w:val="0057035B"/>
    <w:rsid w:val="00575044"/>
    <w:rsid w:val="0058327B"/>
    <w:rsid w:val="0058570E"/>
    <w:rsid w:val="00590683"/>
    <w:rsid w:val="00593198"/>
    <w:rsid w:val="00593C48"/>
    <w:rsid w:val="005A2A76"/>
    <w:rsid w:val="005A2C3B"/>
    <w:rsid w:val="005A335E"/>
    <w:rsid w:val="005A5058"/>
    <w:rsid w:val="005B3312"/>
    <w:rsid w:val="005B403A"/>
    <w:rsid w:val="005C021A"/>
    <w:rsid w:val="005C4ACA"/>
    <w:rsid w:val="005C7FA5"/>
    <w:rsid w:val="005E0822"/>
    <w:rsid w:val="005E1F14"/>
    <w:rsid w:val="005E1F90"/>
    <w:rsid w:val="005E3372"/>
    <w:rsid w:val="005E3849"/>
    <w:rsid w:val="00616B47"/>
    <w:rsid w:val="0061707F"/>
    <w:rsid w:val="00620D98"/>
    <w:rsid w:val="006219C3"/>
    <w:rsid w:val="00624448"/>
    <w:rsid w:val="0062516E"/>
    <w:rsid w:val="00626685"/>
    <w:rsid w:val="00627356"/>
    <w:rsid w:val="00630DB1"/>
    <w:rsid w:val="0064136C"/>
    <w:rsid w:val="006515D3"/>
    <w:rsid w:val="00656251"/>
    <w:rsid w:val="00661390"/>
    <w:rsid w:val="00662FBD"/>
    <w:rsid w:val="006633A1"/>
    <w:rsid w:val="00664E33"/>
    <w:rsid w:val="006724AD"/>
    <w:rsid w:val="00676411"/>
    <w:rsid w:val="006814DD"/>
    <w:rsid w:val="00682A6D"/>
    <w:rsid w:val="006922EE"/>
    <w:rsid w:val="006B0F47"/>
    <w:rsid w:val="006B62FD"/>
    <w:rsid w:val="006C5F2E"/>
    <w:rsid w:val="006C6323"/>
    <w:rsid w:val="006C6381"/>
    <w:rsid w:val="006D04F8"/>
    <w:rsid w:val="006D27C3"/>
    <w:rsid w:val="006D2857"/>
    <w:rsid w:val="006E43FF"/>
    <w:rsid w:val="006F0AE7"/>
    <w:rsid w:val="006F5C54"/>
    <w:rsid w:val="0070097A"/>
    <w:rsid w:val="007012DA"/>
    <w:rsid w:val="00705279"/>
    <w:rsid w:val="0071282D"/>
    <w:rsid w:val="00723A30"/>
    <w:rsid w:val="007257BF"/>
    <w:rsid w:val="00730A2F"/>
    <w:rsid w:val="00732342"/>
    <w:rsid w:val="00732C05"/>
    <w:rsid w:val="00747FCF"/>
    <w:rsid w:val="00765C58"/>
    <w:rsid w:val="00766E57"/>
    <w:rsid w:val="00775432"/>
    <w:rsid w:val="007A5EFA"/>
    <w:rsid w:val="007B30B7"/>
    <w:rsid w:val="007C0452"/>
    <w:rsid w:val="007C3F4C"/>
    <w:rsid w:val="007C4B7B"/>
    <w:rsid w:val="007C5F46"/>
    <w:rsid w:val="007E32DC"/>
    <w:rsid w:val="007F39AA"/>
    <w:rsid w:val="007F48A7"/>
    <w:rsid w:val="00813C4E"/>
    <w:rsid w:val="00815E22"/>
    <w:rsid w:val="00826708"/>
    <w:rsid w:val="00830BE6"/>
    <w:rsid w:val="00832821"/>
    <w:rsid w:val="00832F87"/>
    <w:rsid w:val="00846B06"/>
    <w:rsid w:val="008518D7"/>
    <w:rsid w:val="00852651"/>
    <w:rsid w:val="008603D6"/>
    <w:rsid w:val="008702BB"/>
    <w:rsid w:val="00871912"/>
    <w:rsid w:val="008756FD"/>
    <w:rsid w:val="00894D5C"/>
    <w:rsid w:val="008976AC"/>
    <w:rsid w:val="008A5DDB"/>
    <w:rsid w:val="008B2538"/>
    <w:rsid w:val="008B782F"/>
    <w:rsid w:val="008C7153"/>
    <w:rsid w:val="008D1A08"/>
    <w:rsid w:val="008D20AE"/>
    <w:rsid w:val="008D286B"/>
    <w:rsid w:val="008E66DF"/>
    <w:rsid w:val="008F4686"/>
    <w:rsid w:val="008F7F7A"/>
    <w:rsid w:val="009002C7"/>
    <w:rsid w:val="00901382"/>
    <w:rsid w:val="009014B1"/>
    <w:rsid w:val="00903892"/>
    <w:rsid w:val="00905A9C"/>
    <w:rsid w:val="00911093"/>
    <w:rsid w:val="009309AE"/>
    <w:rsid w:val="00932430"/>
    <w:rsid w:val="00933A47"/>
    <w:rsid w:val="00933EDD"/>
    <w:rsid w:val="00936303"/>
    <w:rsid w:val="009427B4"/>
    <w:rsid w:val="0094683F"/>
    <w:rsid w:val="00950473"/>
    <w:rsid w:val="00951186"/>
    <w:rsid w:val="0095570B"/>
    <w:rsid w:val="00960637"/>
    <w:rsid w:val="00961C79"/>
    <w:rsid w:val="00964ECF"/>
    <w:rsid w:val="00976A41"/>
    <w:rsid w:val="0097764C"/>
    <w:rsid w:val="0098393E"/>
    <w:rsid w:val="00983EBF"/>
    <w:rsid w:val="00986FCE"/>
    <w:rsid w:val="009A5051"/>
    <w:rsid w:val="009A5465"/>
    <w:rsid w:val="009A56E8"/>
    <w:rsid w:val="009B01B2"/>
    <w:rsid w:val="009D232A"/>
    <w:rsid w:val="009D668E"/>
    <w:rsid w:val="009D6B8A"/>
    <w:rsid w:val="009E1FD3"/>
    <w:rsid w:val="009F1F86"/>
    <w:rsid w:val="009F7B0A"/>
    <w:rsid w:val="00A0533A"/>
    <w:rsid w:val="00A062E2"/>
    <w:rsid w:val="00A16836"/>
    <w:rsid w:val="00A3113D"/>
    <w:rsid w:val="00A32582"/>
    <w:rsid w:val="00A4056F"/>
    <w:rsid w:val="00A42D2F"/>
    <w:rsid w:val="00A446BC"/>
    <w:rsid w:val="00A53164"/>
    <w:rsid w:val="00A56490"/>
    <w:rsid w:val="00A56709"/>
    <w:rsid w:val="00A652B3"/>
    <w:rsid w:val="00A77A23"/>
    <w:rsid w:val="00A804CC"/>
    <w:rsid w:val="00A80C2A"/>
    <w:rsid w:val="00A83A97"/>
    <w:rsid w:val="00A85173"/>
    <w:rsid w:val="00A86CF3"/>
    <w:rsid w:val="00A930B7"/>
    <w:rsid w:val="00AA4CE4"/>
    <w:rsid w:val="00AB7C78"/>
    <w:rsid w:val="00AC0CF6"/>
    <w:rsid w:val="00AC22D8"/>
    <w:rsid w:val="00AC27D5"/>
    <w:rsid w:val="00AC7889"/>
    <w:rsid w:val="00AD0108"/>
    <w:rsid w:val="00AD6A1D"/>
    <w:rsid w:val="00AE2216"/>
    <w:rsid w:val="00AE2AAE"/>
    <w:rsid w:val="00AE2B92"/>
    <w:rsid w:val="00AE2C14"/>
    <w:rsid w:val="00AE44B5"/>
    <w:rsid w:val="00AF6824"/>
    <w:rsid w:val="00B02505"/>
    <w:rsid w:val="00B036F3"/>
    <w:rsid w:val="00B07083"/>
    <w:rsid w:val="00B07CED"/>
    <w:rsid w:val="00B12BD6"/>
    <w:rsid w:val="00B261A6"/>
    <w:rsid w:val="00B33B4B"/>
    <w:rsid w:val="00B343DF"/>
    <w:rsid w:val="00B45BEE"/>
    <w:rsid w:val="00B46DC4"/>
    <w:rsid w:val="00B572FD"/>
    <w:rsid w:val="00B62098"/>
    <w:rsid w:val="00B73240"/>
    <w:rsid w:val="00B745B9"/>
    <w:rsid w:val="00B75FC0"/>
    <w:rsid w:val="00B80689"/>
    <w:rsid w:val="00B808B0"/>
    <w:rsid w:val="00B83BC0"/>
    <w:rsid w:val="00B87212"/>
    <w:rsid w:val="00B93852"/>
    <w:rsid w:val="00B93925"/>
    <w:rsid w:val="00B95775"/>
    <w:rsid w:val="00B97D96"/>
    <w:rsid w:val="00BA03E5"/>
    <w:rsid w:val="00BA0E13"/>
    <w:rsid w:val="00BA1504"/>
    <w:rsid w:val="00BA4E43"/>
    <w:rsid w:val="00BB7029"/>
    <w:rsid w:val="00BC0523"/>
    <w:rsid w:val="00BC5617"/>
    <w:rsid w:val="00BD0081"/>
    <w:rsid w:val="00BD59D8"/>
    <w:rsid w:val="00BE0D2A"/>
    <w:rsid w:val="00BE2441"/>
    <w:rsid w:val="00BF0C57"/>
    <w:rsid w:val="00BF68D3"/>
    <w:rsid w:val="00C00946"/>
    <w:rsid w:val="00C02D88"/>
    <w:rsid w:val="00C07514"/>
    <w:rsid w:val="00C12DC5"/>
    <w:rsid w:val="00C13276"/>
    <w:rsid w:val="00C141D9"/>
    <w:rsid w:val="00C212A1"/>
    <w:rsid w:val="00C2167F"/>
    <w:rsid w:val="00C24F0E"/>
    <w:rsid w:val="00C26003"/>
    <w:rsid w:val="00C31BE9"/>
    <w:rsid w:val="00C322EB"/>
    <w:rsid w:val="00C350EB"/>
    <w:rsid w:val="00C36680"/>
    <w:rsid w:val="00C426D5"/>
    <w:rsid w:val="00C448A0"/>
    <w:rsid w:val="00C44A4C"/>
    <w:rsid w:val="00C45A9D"/>
    <w:rsid w:val="00C46389"/>
    <w:rsid w:val="00C46C7C"/>
    <w:rsid w:val="00C522C2"/>
    <w:rsid w:val="00C53A20"/>
    <w:rsid w:val="00C560A2"/>
    <w:rsid w:val="00C70A83"/>
    <w:rsid w:val="00C70E78"/>
    <w:rsid w:val="00C7411B"/>
    <w:rsid w:val="00C75DB6"/>
    <w:rsid w:val="00C90D53"/>
    <w:rsid w:val="00C9517D"/>
    <w:rsid w:val="00CA05E3"/>
    <w:rsid w:val="00CB6F82"/>
    <w:rsid w:val="00CB7B12"/>
    <w:rsid w:val="00CC3D9B"/>
    <w:rsid w:val="00CC4E72"/>
    <w:rsid w:val="00CD187F"/>
    <w:rsid w:val="00CD5F39"/>
    <w:rsid w:val="00CF17B5"/>
    <w:rsid w:val="00CF24D1"/>
    <w:rsid w:val="00CF24DD"/>
    <w:rsid w:val="00D11B62"/>
    <w:rsid w:val="00D14583"/>
    <w:rsid w:val="00D23811"/>
    <w:rsid w:val="00D27307"/>
    <w:rsid w:val="00D41AB8"/>
    <w:rsid w:val="00D43824"/>
    <w:rsid w:val="00D50952"/>
    <w:rsid w:val="00D513FF"/>
    <w:rsid w:val="00D55773"/>
    <w:rsid w:val="00D61C99"/>
    <w:rsid w:val="00D63967"/>
    <w:rsid w:val="00D6745C"/>
    <w:rsid w:val="00D67C34"/>
    <w:rsid w:val="00D76B5A"/>
    <w:rsid w:val="00DA0149"/>
    <w:rsid w:val="00DB2C2D"/>
    <w:rsid w:val="00DC4750"/>
    <w:rsid w:val="00DC5510"/>
    <w:rsid w:val="00DD2148"/>
    <w:rsid w:val="00DE767F"/>
    <w:rsid w:val="00DF7243"/>
    <w:rsid w:val="00DF7BD8"/>
    <w:rsid w:val="00E012DC"/>
    <w:rsid w:val="00E01988"/>
    <w:rsid w:val="00E05C39"/>
    <w:rsid w:val="00E062CA"/>
    <w:rsid w:val="00E1492C"/>
    <w:rsid w:val="00E17AD5"/>
    <w:rsid w:val="00E234DB"/>
    <w:rsid w:val="00E43890"/>
    <w:rsid w:val="00E45EFD"/>
    <w:rsid w:val="00E47F12"/>
    <w:rsid w:val="00E51E11"/>
    <w:rsid w:val="00E537E4"/>
    <w:rsid w:val="00E55B91"/>
    <w:rsid w:val="00E572F7"/>
    <w:rsid w:val="00E61D8C"/>
    <w:rsid w:val="00E647FA"/>
    <w:rsid w:val="00E74007"/>
    <w:rsid w:val="00E83AB5"/>
    <w:rsid w:val="00E93FAA"/>
    <w:rsid w:val="00E97CA4"/>
    <w:rsid w:val="00EA3A96"/>
    <w:rsid w:val="00EA4C05"/>
    <w:rsid w:val="00EA5000"/>
    <w:rsid w:val="00EA6F71"/>
    <w:rsid w:val="00EA6FCD"/>
    <w:rsid w:val="00EB3D48"/>
    <w:rsid w:val="00EC33F1"/>
    <w:rsid w:val="00ED1050"/>
    <w:rsid w:val="00ED2720"/>
    <w:rsid w:val="00ED52CF"/>
    <w:rsid w:val="00EE34FC"/>
    <w:rsid w:val="00EE5856"/>
    <w:rsid w:val="00EF1CBC"/>
    <w:rsid w:val="00EF3BC6"/>
    <w:rsid w:val="00F11622"/>
    <w:rsid w:val="00F12DB4"/>
    <w:rsid w:val="00F157BA"/>
    <w:rsid w:val="00F1767E"/>
    <w:rsid w:val="00F212DB"/>
    <w:rsid w:val="00F22E95"/>
    <w:rsid w:val="00F41225"/>
    <w:rsid w:val="00F439BA"/>
    <w:rsid w:val="00F4469C"/>
    <w:rsid w:val="00F567E9"/>
    <w:rsid w:val="00F56C63"/>
    <w:rsid w:val="00F60110"/>
    <w:rsid w:val="00F7494A"/>
    <w:rsid w:val="00F755DC"/>
    <w:rsid w:val="00F930F9"/>
    <w:rsid w:val="00FA489A"/>
    <w:rsid w:val="00FA7112"/>
    <w:rsid w:val="00FA7AD3"/>
    <w:rsid w:val="00FB1BF4"/>
    <w:rsid w:val="00FB28E5"/>
    <w:rsid w:val="00FB4043"/>
    <w:rsid w:val="00FC1256"/>
    <w:rsid w:val="00FC4C7B"/>
    <w:rsid w:val="00FD4390"/>
    <w:rsid w:val="00FD4615"/>
    <w:rsid w:val="00FE07B6"/>
    <w:rsid w:val="00FF0B49"/>
    <w:rsid w:val="00FF10F1"/>
    <w:rsid w:val="00FF1279"/>
    <w:rsid w:val="00FF1683"/>
    <w:rsid w:val="00FF27A1"/>
    <w:rsid w:val="00FF5F91"/>
    <w:rsid w:val="00FF6CDB"/>
    <w:rsid w:val="00FF77B5"/>
    <w:rsid w:val="00FF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E0ADD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7EC76-2666-405A-BF7C-4FA25F8E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813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DSDB</dc:creator>
  <cp:lastModifiedBy>Sergiusz Salej</cp:lastModifiedBy>
  <cp:revision>16</cp:revision>
  <dcterms:created xsi:type="dcterms:W3CDTF">2025-03-24T12:08:00Z</dcterms:created>
  <dcterms:modified xsi:type="dcterms:W3CDTF">2025-07-10T14:23:00Z</dcterms:modified>
</cp:coreProperties>
</file>