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rtl w:val="0"/>
        </w:rPr>
        <w:t xml:space="preserve">Nr postępowania: 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/202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/KPO/HORECA/DWOR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9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33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after="0" w:line="33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after="0" w:line="33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rPr/>
      </w:pPr>
      <w:r w:rsidDel="00000000" w:rsidR="00000000" w:rsidRPr="00000000">
        <w:rPr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336" w:lineRule="auto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"DWÓR POLSKI" STACHURSCY SPÓŁKA JAWNA</w:t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LIPOWA 5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26-414 POTWORÓW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6010066245</w:t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A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720" w:firstLine="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zasadą konkurencyjności opisaną w “Wytycznych dotyczących kwalifikowalności wydatków na lata 2021-2027” (Warszawa, </w:t>
      </w:r>
      <w:r w:rsidDel="00000000" w:rsidR="00000000" w:rsidRPr="00000000">
        <w:rPr>
          <w:rtl w:val="0"/>
        </w:rPr>
        <w:t xml:space="preserve">14.03.2025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r.)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kapitałowe i osobowe rozumie się wzajemne powiązania między Wykonawcą                  a Zamawiającym polegające na: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</w:t>
      </w:r>
      <w:r w:rsidDel="00000000" w:rsidR="00000000" w:rsidRPr="00000000">
        <w:rPr>
          <w:rtl w:val="0"/>
        </w:rPr>
        <w:t xml:space="preserve">albo pozostawaniu we wspólnym pożyciu z wykonawcą, jego zastępcą prawnym lub członkami organów zarządzających lub organów nadzorczych wykonawców ubiegających się o udzielenie zamówienia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713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54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52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line="81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B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4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3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5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773BFC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kapitzlistZnak" w:customStyle="1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 w:val="1"/>
    <w:rsid w:val="000C78A5"/>
    <w:rPr>
      <w:rFonts w:cs="Times New Roman" w:eastAsia="Times New Roman"/>
      <w:lang w:val="en-US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0C78A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Olx7gqz8IVLt1lhNr3OWyejOKA==">CgMxLjA4AHIhMVNWanUteDZNOFJEci1fQVJ3bnYwd1RBaHlZSlczeTRM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2024-07-15T09:25:00Z</dcterms:created>
  <dc:creator>User</dc:creator>
</cp:coreProperties>
</file>