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F54E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6235BB6D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42643BCF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…………………………..</w:t>
      </w:r>
    </w:p>
    <w:p w14:paraId="1A574DAB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Pieczątka zamawiającego</w:t>
      </w:r>
    </w:p>
    <w:p w14:paraId="224B47F4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D142346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489A00C8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571CD604" w14:textId="1442FDB4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ZAPYTANIE OFERTOWE NR ZO/</w:t>
      </w:r>
      <w:r w:rsidR="00A9451A" w:rsidRPr="006355E3">
        <w:rPr>
          <w:rFonts w:eastAsia="Times New Roman" w:cs="Times New Roman"/>
          <w:b/>
          <w:color w:val="auto"/>
          <w:sz w:val="20"/>
          <w:szCs w:val="20"/>
        </w:rPr>
        <w:t>10</w:t>
      </w:r>
      <w:r w:rsidRPr="006355E3">
        <w:rPr>
          <w:rFonts w:eastAsia="Times New Roman" w:cs="Times New Roman"/>
          <w:b/>
          <w:color w:val="auto"/>
          <w:sz w:val="20"/>
          <w:szCs w:val="20"/>
        </w:rPr>
        <w:t>/</w:t>
      </w:r>
      <w:r w:rsidR="00020D09" w:rsidRPr="006355E3">
        <w:rPr>
          <w:rFonts w:eastAsia="Times New Roman" w:cs="Times New Roman"/>
          <w:b/>
          <w:color w:val="auto"/>
          <w:sz w:val="20"/>
          <w:szCs w:val="20"/>
        </w:rPr>
        <w:t>WIZ2/8.1/</w:t>
      </w:r>
      <w:r w:rsidR="00B13D36" w:rsidRPr="006355E3">
        <w:rPr>
          <w:rFonts w:eastAsia="Times New Roman" w:cs="Times New Roman"/>
          <w:b/>
          <w:color w:val="auto"/>
          <w:sz w:val="20"/>
          <w:szCs w:val="20"/>
        </w:rPr>
        <w:t>V</w:t>
      </w:r>
      <w:r w:rsidR="00A9451A" w:rsidRPr="006355E3">
        <w:rPr>
          <w:rFonts w:eastAsia="Times New Roman" w:cs="Times New Roman"/>
          <w:b/>
          <w:color w:val="auto"/>
          <w:sz w:val="20"/>
          <w:szCs w:val="20"/>
        </w:rPr>
        <w:t>I</w:t>
      </w:r>
      <w:r w:rsidR="00020D09" w:rsidRPr="006355E3">
        <w:rPr>
          <w:rFonts w:eastAsia="Times New Roman" w:cs="Times New Roman"/>
          <w:b/>
          <w:color w:val="auto"/>
          <w:sz w:val="20"/>
          <w:szCs w:val="20"/>
        </w:rPr>
        <w:t>/2025</w:t>
      </w:r>
    </w:p>
    <w:p w14:paraId="084B3DBC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498C0673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1BE0499D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Specyfikacja Istotnych Warunków Zamówienia (SIWZ)</w:t>
      </w:r>
    </w:p>
    <w:p w14:paraId="0674CBBA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dotycząca zapytania ofertowego na:</w:t>
      </w:r>
    </w:p>
    <w:p w14:paraId="49B8612E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41750DE8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Nazwa zamówienia:</w:t>
      </w:r>
    </w:p>
    <w:p w14:paraId="42A36236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color w:val="auto"/>
          <w:sz w:val="20"/>
          <w:szCs w:val="20"/>
        </w:rPr>
      </w:pPr>
    </w:p>
    <w:p w14:paraId="10FB7ECC" w14:textId="26BCAA07" w:rsidR="00B7492A" w:rsidRPr="006355E3" w:rsidRDefault="00B7492A" w:rsidP="008123F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bookmarkStart w:id="0" w:name="_Hlk180127018"/>
      <w:bookmarkStart w:id="1" w:name="_Hlk180388059"/>
      <w:r w:rsidRPr="006355E3">
        <w:rPr>
          <w:rFonts w:eastAsia="Times New Roman" w:cs="Times New Roman"/>
          <w:b/>
          <w:color w:val="auto"/>
          <w:sz w:val="20"/>
          <w:szCs w:val="20"/>
        </w:rPr>
        <w:t xml:space="preserve">Zakup i dostawa </w:t>
      </w:r>
      <w:bookmarkEnd w:id="0"/>
      <w:r w:rsidR="008123F0" w:rsidRPr="006355E3">
        <w:rPr>
          <w:rFonts w:eastAsia="Times New Roman" w:cs="Times New Roman"/>
          <w:b/>
          <w:color w:val="auto"/>
          <w:sz w:val="20"/>
          <w:szCs w:val="20"/>
        </w:rPr>
        <w:t>wyposażenia do pracowni komputerowej w Zespole Szkół Politechnicznych Energetyk w Wałbrzychu</w:t>
      </w:r>
    </w:p>
    <w:bookmarkEnd w:id="1"/>
    <w:p w14:paraId="1B3C0F09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129A1A22" w14:textId="77777777" w:rsidR="00020D09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>Tytuł projektu: „</w:t>
      </w:r>
      <w:r w:rsidR="00020D09" w:rsidRPr="006355E3">
        <w:rPr>
          <w:rFonts w:eastAsia="Times New Roman" w:cs="Times New Roman"/>
          <w:b/>
          <w:bCs/>
          <w:color w:val="auto"/>
          <w:sz w:val="20"/>
          <w:szCs w:val="20"/>
        </w:rPr>
        <w:t>Wałbrzyski Inkubator Zawodowy 2 – wspieranie równego dostępu do dobrej jakości kształcenia zawodowego dla 200 uczniów z 4 zespołów szkół zawodowych w Wałbrzychu</w:t>
      </w: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 xml:space="preserve">”, </w:t>
      </w:r>
    </w:p>
    <w:p w14:paraId="6A198536" w14:textId="1490D0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>nr FEDS.08.01-IZ.00-00</w:t>
      </w:r>
      <w:r w:rsidR="00020D09" w:rsidRPr="006355E3">
        <w:rPr>
          <w:rFonts w:eastAsia="Times New Roman" w:cs="Times New Roman"/>
          <w:b/>
          <w:bCs/>
          <w:color w:val="auto"/>
          <w:sz w:val="20"/>
          <w:szCs w:val="20"/>
        </w:rPr>
        <w:t>12</w:t>
      </w: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>/2</w:t>
      </w:r>
      <w:r w:rsidR="00020D09" w:rsidRPr="006355E3">
        <w:rPr>
          <w:rFonts w:eastAsia="Times New Roman" w:cs="Times New Roman"/>
          <w:b/>
          <w:bCs/>
          <w:color w:val="auto"/>
          <w:sz w:val="20"/>
          <w:szCs w:val="20"/>
        </w:rPr>
        <w:t>3</w:t>
      </w:r>
    </w:p>
    <w:p w14:paraId="70186A9D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73BF0EDB" w14:textId="08855053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 xml:space="preserve">Szacowana wartość zamówienia pow. </w:t>
      </w:r>
      <w:r w:rsidR="00B13D36" w:rsidRPr="006355E3">
        <w:rPr>
          <w:rFonts w:eastAsia="Times New Roman" w:cs="Times New Roman"/>
          <w:b/>
          <w:bCs/>
          <w:color w:val="auto"/>
          <w:sz w:val="20"/>
          <w:szCs w:val="20"/>
        </w:rPr>
        <w:t>8</w:t>
      </w: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>0.000 PLN netto</w:t>
      </w:r>
    </w:p>
    <w:p w14:paraId="03A9D149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24CE9C63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255244A7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Przedmiot zamówienia jest współfinansowany ze środków Unii Europejskiej w ramach Funduszy Europejskich dla Dolnego Śląska 2021-2027, Europejskiego Funduszu Społecznego PLUS. </w:t>
      </w:r>
    </w:p>
    <w:p w14:paraId="60208778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Działanie: FEDS.08.01 Dostęp do edukacji</w:t>
      </w:r>
    </w:p>
    <w:p w14:paraId="5AF9E766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Priorytet: </w:t>
      </w:r>
      <w:bookmarkStart w:id="2" w:name="_Hlk178588771"/>
      <w:r w:rsidRPr="006355E3">
        <w:rPr>
          <w:rFonts w:eastAsia="Times New Roman" w:cs="Times New Roman"/>
          <w:color w:val="auto"/>
          <w:sz w:val="20"/>
          <w:szCs w:val="20"/>
        </w:rPr>
        <w:t>8. Fundusze Europejskie dla edukacji na Dolnym Śląsku.</w:t>
      </w:r>
      <w:bookmarkEnd w:id="2"/>
    </w:p>
    <w:p w14:paraId="402F27F8" w14:textId="79B83930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Nabór nr: </w:t>
      </w:r>
      <w:r w:rsidR="00020D09" w:rsidRPr="006355E3">
        <w:rPr>
          <w:rFonts w:eastAsia="Times New Roman" w:cs="Times New Roman"/>
          <w:color w:val="auto"/>
          <w:sz w:val="20"/>
          <w:szCs w:val="20"/>
        </w:rPr>
        <w:t>FEDS.08.01-IZ.00-007/23</w:t>
      </w:r>
    </w:p>
    <w:p w14:paraId="6C1D2EDB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69B78A0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056F6FB7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                                              </w:t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</w:p>
    <w:p w14:paraId="1F1D6DF0" w14:textId="77777777" w:rsidR="00B7492A" w:rsidRPr="006355E3" w:rsidRDefault="00B7492A" w:rsidP="00B7492A">
      <w:pPr>
        <w:spacing w:after="0" w:line="240" w:lineRule="auto"/>
        <w:ind w:left="5103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Zatwierdziła:</w:t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  <w:r w:rsidRPr="006355E3">
        <w:rPr>
          <w:rFonts w:eastAsia="Times New Roman" w:cs="Times New Roman"/>
          <w:color w:val="auto"/>
          <w:sz w:val="20"/>
          <w:szCs w:val="20"/>
        </w:rPr>
        <w:tab/>
      </w:r>
    </w:p>
    <w:p w14:paraId="470F5B57" w14:textId="77777777" w:rsidR="00B7492A" w:rsidRPr="006355E3" w:rsidRDefault="00B7492A" w:rsidP="00B7492A">
      <w:pPr>
        <w:spacing w:after="0" w:line="240" w:lineRule="auto"/>
        <w:ind w:left="5103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Mariola Kruszyńska</w:t>
      </w:r>
    </w:p>
    <w:p w14:paraId="332FF990" w14:textId="6B499150" w:rsidR="00B7492A" w:rsidRPr="006355E3" w:rsidRDefault="00B7492A" w:rsidP="00B7492A">
      <w:pPr>
        <w:spacing w:after="0" w:line="240" w:lineRule="auto"/>
        <w:ind w:left="5103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Prezes </w:t>
      </w:r>
      <w:r w:rsidR="00B13D36" w:rsidRPr="006355E3">
        <w:rPr>
          <w:rFonts w:eastAsia="Times New Roman" w:cs="Times New Roman"/>
          <w:color w:val="auto"/>
          <w:sz w:val="20"/>
          <w:szCs w:val="20"/>
        </w:rPr>
        <w:t>Zarządu „FUNDACJI EDUKACJI EUROPEJSKIEJ”</w:t>
      </w:r>
    </w:p>
    <w:p w14:paraId="5285E4CD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5A75DFE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                              </w:t>
      </w:r>
    </w:p>
    <w:p w14:paraId="30CDCB17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61F507E5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103CD488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08B20DF2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1CDBAA8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C7E8C48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5DD88A69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5742B955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5CCCDE4" w14:textId="3D986ED3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Wałbrzych, dnia </w:t>
      </w:r>
      <w:r w:rsidR="00195E55">
        <w:rPr>
          <w:rFonts w:eastAsia="Times New Roman" w:cs="Times New Roman"/>
          <w:color w:val="auto"/>
          <w:sz w:val="20"/>
          <w:szCs w:val="20"/>
        </w:rPr>
        <w:t>29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</w:t>
      </w:r>
      <w:r w:rsidR="00A9451A" w:rsidRPr="006355E3">
        <w:rPr>
          <w:rFonts w:eastAsia="Times New Roman" w:cs="Times New Roman"/>
          <w:color w:val="auto"/>
          <w:sz w:val="20"/>
          <w:szCs w:val="20"/>
        </w:rPr>
        <w:t>czerwca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202</w:t>
      </w:r>
      <w:r w:rsidR="00020D09" w:rsidRPr="006355E3">
        <w:rPr>
          <w:rFonts w:eastAsia="Times New Roman" w:cs="Times New Roman"/>
          <w:color w:val="auto"/>
          <w:sz w:val="20"/>
          <w:szCs w:val="20"/>
        </w:rPr>
        <w:t>5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r.</w:t>
      </w:r>
    </w:p>
    <w:p w14:paraId="0D037FC5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br w:type="page"/>
      </w:r>
      <w:r w:rsidRPr="006355E3">
        <w:rPr>
          <w:rFonts w:eastAsia="Times New Roman" w:cs="Times New Roman"/>
          <w:b/>
          <w:color w:val="auto"/>
          <w:sz w:val="20"/>
          <w:szCs w:val="20"/>
        </w:rPr>
        <w:lastRenderedPageBreak/>
        <w:t>I. ZAMAWIAJĄCY:</w:t>
      </w:r>
    </w:p>
    <w:p w14:paraId="5A49572C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Siedziba:</w:t>
      </w:r>
    </w:p>
    <w:p w14:paraId="4AA20C13" w14:textId="7C041CB3" w:rsidR="00B7492A" w:rsidRPr="006355E3" w:rsidRDefault="005A5138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„FUNDACJA EDUKACJI EUROPEJSKIEJ”</w:t>
      </w:r>
    </w:p>
    <w:p w14:paraId="45B60D9E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ul. Dmowskiego 2/4, </w:t>
      </w:r>
    </w:p>
    <w:p w14:paraId="743542A2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58-300 Wałbrzych</w:t>
      </w:r>
    </w:p>
    <w:p w14:paraId="3A4A31B2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tel./ fax +48 74 664 04 02</w:t>
      </w:r>
    </w:p>
    <w:p w14:paraId="4B61426B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NIP: 886-26-65-090</w:t>
      </w:r>
    </w:p>
    <w:p w14:paraId="6D3DEB05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7B6E0B16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II. MIEJSCE PUBLIKACJI OGŁOSZENIA O ZAMÓWIENIU</w:t>
      </w:r>
    </w:p>
    <w:p w14:paraId="47AC36F7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Baza Konkurencyjności</w:t>
      </w:r>
    </w:p>
    <w:p w14:paraId="34C571D4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15ACB287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III. TRYB UDZIELANIA ZAMÓWIENIA</w:t>
      </w:r>
    </w:p>
    <w:p w14:paraId="1D4996B9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Zapytanie ofertowe z zachowaniem zasady konkurencyjności, bez zachowania procedur określonych </w:t>
      </w:r>
      <w:r w:rsidRPr="006355E3">
        <w:rPr>
          <w:rFonts w:eastAsia="Times New Roman" w:cs="Times New Roman"/>
          <w:color w:val="auto"/>
          <w:sz w:val="20"/>
          <w:szCs w:val="20"/>
        </w:rPr>
        <w:br/>
        <w:t xml:space="preserve">w ustawie z dn. 29 stycznia 2004r. – prawo zamówień publicznych – tekst jednolity D.U. z 2023 r. poz. 1605  </w:t>
      </w:r>
      <w:r w:rsidRPr="006355E3">
        <w:rPr>
          <w:rFonts w:eastAsia="Times New Roman" w:cs="Times New Roman"/>
          <w:color w:val="auto"/>
          <w:sz w:val="20"/>
          <w:szCs w:val="20"/>
        </w:rPr>
        <w:br/>
        <w:t>z późniejszymi zmianami.</w:t>
      </w:r>
    </w:p>
    <w:p w14:paraId="2B27FB18" w14:textId="77777777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7D890ED" w14:textId="77777777" w:rsidR="00B7492A" w:rsidRPr="006355E3" w:rsidRDefault="00B7492A" w:rsidP="00B7492A">
      <w:p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 xml:space="preserve">IV. </w:t>
      </w: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 xml:space="preserve">OKREŚLENIE PRZEDMIOTU ZAMÓWIENIA ORAZ WIELKOŚCI ZAMÓWIENIA </w:t>
      </w:r>
    </w:p>
    <w:p w14:paraId="51D3256C" w14:textId="67CE1371" w:rsidR="00B7492A" w:rsidRPr="006355E3" w:rsidRDefault="00B7492A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IV.1.1) Nazwa nadana zamówieniu przez zamawiającego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: </w:t>
      </w:r>
      <w:r w:rsidR="008123F0" w:rsidRPr="006355E3">
        <w:rPr>
          <w:rFonts w:eastAsia="Times New Roman" w:cs="Times New Roman"/>
          <w:color w:val="auto"/>
          <w:sz w:val="20"/>
          <w:szCs w:val="20"/>
        </w:rPr>
        <w:t>Zakup i dostawa wyposażenia do pracowni komputerowej w Zespole Szkół Politechnicznych Energetyk w Wałbrzychu.</w:t>
      </w:r>
    </w:p>
    <w:p w14:paraId="741AC71D" w14:textId="77777777" w:rsidR="008123F0" w:rsidRPr="006355E3" w:rsidRDefault="008123F0" w:rsidP="00B7492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</w:p>
    <w:p w14:paraId="2C4F8E61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IV.1.2) Rodzaj zamówienia: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dostawy</w:t>
      </w:r>
    </w:p>
    <w:p w14:paraId="2E8023B3" w14:textId="2985408E" w:rsidR="005A5138" w:rsidRPr="006355E3" w:rsidRDefault="00B7492A" w:rsidP="004446A4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IV.1.3) Określenie przedmiotu oraz wielkości lub zakresu zamówienia: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Fundacja Edukacji Europejskiej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 xml:space="preserve">w Wałbrzychu zaprasza do składania ofert </w:t>
      </w:r>
      <w:r w:rsidR="00A9451A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na 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>zakup i dostawę wyposażenia do pracowni komputerowej w Zespole Szkół Politechnicznych Energetyk w Wałbrzychu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. 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Wyposażenie pracowni komputerowej w zestaw 18 sztuk komputerów stacjonarnych </w:t>
      </w:r>
      <w:r w:rsidR="00A9451A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wraz 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 oprogramowaniem </w:t>
      </w:r>
      <w:r w:rsidR="00A9451A" w:rsidRPr="006355E3">
        <w:rPr>
          <w:rFonts w:eastAsia="Andale Sans UI" w:cs="Times New Roman"/>
          <w:color w:val="auto"/>
          <w:kern w:val="2"/>
          <w:sz w:val="20"/>
          <w:szCs w:val="20"/>
        </w:rPr>
        <w:t>oraz z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monitorem, klawiaturą i myszką, dodatkowo do wyposażenia pracowni ploter oraz pras</w:t>
      </w:r>
      <w:r w:rsidR="00603BF9" w:rsidRPr="006355E3">
        <w:rPr>
          <w:rFonts w:eastAsia="Andale Sans UI" w:cs="Times New Roman"/>
          <w:color w:val="auto"/>
          <w:kern w:val="2"/>
          <w:sz w:val="20"/>
          <w:szCs w:val="20"/>
        </w:rPr>
        <w:t>a sublimacyjna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.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Dostarczone zamówienie po dostawie powinno być gotowe do użytku bez konieczności dodatkowego nakładu finansowego. Zakup 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>wyposażenia pracowni komputerowej będzie</w:t>
      </w:r>
      <w:r w:rsidR="00020D09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wykorzystywan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>y</w:t>
      </w:r>
      <w:r w:rsidR="00020D09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do realizacji zajęć z</w:t>
      </w:r>
      <w:r w:rsidR="008123F0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E30E9A" w:rsidRPr="006355E3">
        <w:rPr>
          <w:rFonts w:eastAsia="Andale Sans UI" w:cs="Times New Roman"/>
          <w:color w:val="auto"/>
          <w:kern w:val="2"/>
          <w:sz w:val="20"/>
          <w:szCs w:val="20"/>
        </w:rPr>
        <w:t>informatyki, automatyki</w:t>
      </w:r>
      <w:r w:rsidR="004446A4" w:rsidRPr="006355E3">
        <w:rPr>
          <w:rFonts w:eastAsia="Andale Sans UI" w:cs="Times New Roman"/>
          <w:color w:val="auto"/>
          <w:kern w:val="2"/>
          <w:sz w:val="20"/>
          <w:szCs w:val="20"/>
        </w:rPr>
        <w:t>.</w:t>
      </w:r>
      <w:r w:rsidR="00020D09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0315F988" w14:textId="5F0B486D" w:rsidR="00B7492A" w:rsidRPr="006355E3" w:rsidRDefault="00B7492A" w:rsidP="004446A4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7CC714B" w14:textId="77777777" w:rsidR="00B7492A" w:rsidRPr="006355E3" w:rsidRDefault="00B7492A" w:rsidP="00B7492A">
      <w:pPr>
        <w:spacing w:after="0" w:line="254" w:lineRule="auto"/>
        <w:ind w:left="0" w:firstLine="0"/>
        <w:contextualSpacing/>
        <w:rPr>
          <w:rFonts w:eastAsia="Calibri" w:cs="Times New Roman"/>
          <w:color w:val="auto"/>
          <w:sz w:val="20"/>
          <w:szCs w:val="20"/>
          <w:lang w:eastAsia="en-US"/>
        </w:rPr>
      </w:pPr>
      <w:r w:rsidRPr="006355E3">
        <w:rPr>
          <w:rFonts w:eastAsia="Calibri" w:cs="Times New Roman"/>
          <w:color w:val="auto"/>
          <w:sz w:val="20"/>
          <w:szCs w:val="20"/>
          <w:lang w:eastAsia="en-US"/>
        </w:rPr>
        <w:t>Szczegółowy opis przedmiotu zamówienia w zakresie jakościowym i ilościowym opisany jest w załączniku nr 2 i 2a do SIWZ.</w:t>
      </w:r>
    </w:p>
    <w:p w14:paraId="6C6D0397" w14:textId="25920C5F" w:rsidR="00C56A4C" w:rsidRPr="006355E3" w:rsidRDefault="00C56A4C" w:rsidP="00B7492A">
      <w:pPr>
        <w:spacing w:after="0" w:line="254" w:lineRule="auto"/>
        <w:ind w:left="0" w:firstLine="0"/>
        <w:contextualSpacing/>
        <w:rPr>
          <w:rFonts w:eastAsia="Calibri" w:cs="Times New Roman"/>
          <w:color w:val="auto"/>
          <w:sz w:val="20"/>
          <w:szCs w:val="20"/>
          <w:lang w:eastAsia="en-US"/>
        </w:rPr>
      </w:pPr>
      <w:r w:rsidRPr="006355E3">
        <w:rPr>
          <w:rFonts w:eastAsia="Calibri" w:cs="Times New Roman"/>
          <w:color w:val="auto"/>
          <w:sz w:val="20"/>
          <w:szCs w:val="20"/>
          <w:lang w:eastAsia="en-US"/>
        </w:rPr>
        <w:t xml:space="preserve">Miejsce dostawy: Zespół Szkół </w:t>
      </w:r>
      <w:r w:rsidR="004446A4" w:rsidRPr="006355E3">
        <w:rPr>
          <w:rFonts w:eastAsia="Calibri" w:cs="Times New Roman"/>
          <w:color w:val="auto"/>
          <w:sz w:val="20"/>
          <w:szCs w:val="20"/>
          <w:lang w:eastAsia="en-US"/>
        </w:rPr>
        <w:t>Politechnicznych Energetyk w Wałbrzychu, przy al. Wyzwolenia 5</w:t>
      </w:r>
      <w:r w:rsidRPr="006355E3">
        <w:rPr>
          <w:rFonts w:eastAsia="Calibri" w:cs="Times New Roman"/>
          <w:color w:val="auto"/>
          <w:sz w:val="20"/>
          <w:szCs w:val="20"/>
          <w:lang w:eastAsia="en-US"/>
        </w:rPr>
        <w:t>.</w:t>
      </w:r>
    </w:p>
    <w:p w14:paraId="32C7181E" w14:textId="35DC607B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Termin dostawy: maksymalnie do </w:t>
      </w:r>
      <w:r w:rsidR="00525A97" w:rsidRPr="006355E3">
        <w:rPr>
          <w:rFonts w:eastAsia="Andale Sans UI" w:cs="Times New Roman"/>
          <w:color w:val="auto"/>
          <w:kern w:val="2"/>
          <w:sz w:val="20"/>
          <w:szCs w:val="20"/>
        </w:rPr>
        <w:t>3</w:t>
      </w:r>
      <w:r w:rsidR="006D69D5" w:rsidRPr="006355E3">
        <w:rPr>
          <w:rFonts w:eastAsia="Andale Sans UI" w:cs="Times New Roman"/>
          <w:color w:val="auto"/>
          <w:kern w:val="2"/>
          <w:sz w:val="20"/>
          <w:szCs w:val="20"/>
        </w:rPr>
        <w:t>0</w:t>
      </w:r>
      <w:r w:rsidR="004446A4"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6D69D5" w:rsidRPr="006355E3">
        <w:rPr>
          <w:rFonts w:eastAsia="Andale Sans UI" w:cs="Times New Roman"/>
          <w:color w:val="auto"/>
          <w:kern w:val="2"/>
          <w:sz w:val="20"/>
          <w:szCs w:val="20"/>
        </w:rPr>
        <w:t>września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202</w:t>
      </w:r>
      <w:r w:rsidR="00525A97" w:rsidRPr="006355E3">
        <w:rPr>
          <w:rFonts w:eastAsia="Andale Sans UI" w:cs="Times New Roman"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roku.</w:t>
      </w:r>
    </w:p>
    <w:p w14:paraId="055921ED" w14:textId="77777777" w:rsidR="004446A4" w:rsidRPr="006355E3" w:rsidRDefault="004446A4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42292707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Dodatkowe informacje:</w:t>
      </w:r>
    </w:p>
    <w:p w14:paraId="3FCB1521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- złożona oferta musi być podana w PLN, z dokładnością do dwóch miejsc po przecinku, </w:t>
      </w:r>
    </w:p>
    <w:p w14:paraId="6CF667CE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Zamawiający nie jest placówką oświatową,</w:t>
      </w:r>
    </w:p>
    <w:p w14:paraId="43F93B5A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oferta powinna być sporządzona w języku polskim, w formie pisemnej, czytelnie wypełniona nieścieralnym atramentem lub długopisem, maszynowo lub komputerowo. Oferta winna być podpisana przez osobę upoważnioną do reprezentowania Wykonawcy,</w:t>
      </w:r>
    </w:p>
    <w:p w14:paraId="4B66CCBA" w14:textId="77F51BA0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- dostarczony przedmiot zamówienia fabrycznie nowy, nieużywany, w pełni sprawny technicznie, wolny od wad, nie regenerowany, nie powystawowy i gotowy do użycia bez żadnych dodatkowych inwestycji </w:t>
      </w:r>
      <w:r w:rsidR="006D69D5" w:rsidRPr="006355E3">
        <w:rPr>
          <w:rFonts w:eastAsia="Times New Roman" w:cs="Times New Roman"/>
          <w:color w:val="auto"/>
          <w:sz w:val="20"/>
          <w:szCs w:val="20"/>
        </w:rPr>
        <w:t xml:space="preserve">przez 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Zamawiającego, wykonany w ramach bezpiecznych technologii oraz dopuszczony do stosowania </w:t>
      </w:r>
      <w:r w:rsidRPr="006355E3">
        <w:rPr>
          <w:rFonts w:eastAsia="Times New Roman" w:cs="Times New Roman"/>
          <w:color w:val="auto"/>
          <w:sz w:val="20"/>
          <w:szCs w:val="20"/>
        </w:rPr>
        <w:br/>
        <w:t>w placówkach oświatowych – szkołach,</w:t>
      </w:r>
    </w:p>
    <w:p w14:paraId="41C8DE07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- </w:t>
      </w:r>
      <w:bookmarkStart w:id="3" w:name="_Hlk178588229"/>
      <w:r w:rsidRPr="006355E3">
        <w:rPr>
          <w:rFonts w:eastAsia="Times New Roman" w:cs="Times New Roman"/>
          <w:color w:val="auto"/>
          <w:sz w:val="20"/>
          <w:szCs w:val="20"/>
        </w:rPr>
        <w:t>dostarczone zamówienie winno spełniać wymagania norm Unii Europejskiej. Produkty, które tego wymagają winny posiadać niezbędne aktualne certyfikaty bezpieczeństwa, atesty, świadectwa jakości i spełniać wszelkie wymogi norm określonych obowiązującym prawem, dostarczone w dniu dostawy do szkoły</w:t>
      </w:r>
      <w:bookmarkEnd w:id="3"/>
      <w:r w:rsidRPr="006355E3">
        <w:rPr>
          <w:rFonts w:eastAsia="Times New Roman" w:cs="Times New Roman"/>
          <w:color w:val="auto"/>
          <w:sz w:val="20"/>
          <w:szCs w:val="20"/>
        </w:rPr>
        <w:t>,</w:t>
      </w:r>
    </w:p>
    <w:p w14:paraId="51FA7FF1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dostarczony przedmiot zamówienia powinien być wyprodukowany z materiałów bez szkodliwych plastików dla człowieka (brak BPA),</w:t>
      </w:r>
    </w:p>
    <w:p w14:paraId="120B32BF" w14:textId="734638BD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lastRenderedPageBreak/>
        <w:t xml:space="preserve">- zamawiający </w:t>
      </w:r>
      <w:r w:rsidR="00F257C3" w:rsidRPr="006355E3">
        <w:rPr>
          <w:rFonts w:eastAsia="Times New Roman" w:cs="Times New Roman"/>
          <w:color w:val="auto"/>
          <w:sz w:val="20"/>
          <w:szCs w:val="20"/>
        </w:rPr>
        <w:t>ż</w:t>
      </w:r>
      <w:r w:rsidR="004446A4" w:rsidRPr="006355E3">
        <w:rPr>
          <w:rFonts w:eastAsia="Times New Roman" w:cs="Times New Roman"/>
          <w:color w:val="auto"/>
          <w:sz w:val="20"/>
          <w:szCs w:val="20"/>
        </w:rPr>
        <w:t>ąda</w:t>
      </w:r>
      <w:r w:rsidRPr="006355E3">
        <w:rPr>
          <w:rFonts w:eastAsia="Times New Roman" w:cs="Times New Roman"/>
          <w:color w:val="auto"/>
          <w:sz w:val="20"/>
          <w:szCs w:val="20"/>
        </w:rPr>
        <w:t>, aby dostaw</w:t>
      </w:r>
      <w:r w:rsidR="002A638A" w:rsidRPr="006355E3">
        <w:rPr>
          <w:rFonts w:eastAsia="Times New Roman" w:cs="Times New Roman"/>
          <w:color w:val="auto"/>
          <w:sz w:val="20"/>
          <w:szCs w:val="20"/>
        </w:rPr>
        <w:t>a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zamówienia był</w:t>
      </w:r>
      <w:r w:rsidR="002A638A" w:rsidRPr="006355E3">
        <w:rPr>
          <w:rFonts w:eastAsia="Times New Roman" w:cs="Times New Roman"/>
          <w:color w:val="auto"/>
          <w:sz w:val="20"/>
          <w:szCs w:val="20"/>
        </w:rPr>
        <w:t>a tylko 1 przesyłką kurierską,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w formie paczek kurierskich oraz jeżeli nie zachodzi taka potrzeba lub konieczność to produkt nie należy pakować w dodatkowe opakowania</w:t>
      </w:r>
      <w:r w:rsidR="002A638A" w:rsidRPr="006355E3">
        <w:rPr>
          <w:rFonts w:eastAsia="Times New Roman" w:cs="Times New Roman"/>
          <w:color w:val="auto"/>
          <w:sz w:val="20"/>
          <w:szCs w:val="20"/>
        </w:rPr>
        <w:t>,</w:t>
      </w:r>
    </w:p>
    <w:p w14:paraId="52A675F8" w14:textId="1F5D353D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- dostarczone zamówienie będzie wykorzystywane do realizacji dodatkowych zajęć </w:t>
      </w:r>
      <w:r w:rsidR="002A638A" w:rsidRPr="006355E3">
        <w:rPr>
          <w:rFonts w:eastAsia="Times New Roman" w:cs="Times New Roman"/>
          <w:color w:val="auto"/>
          <w:sz w:val="20"/>
          <w:szCs w:val="20"/>
        </w:rPr>
        <w:t xml:space="preserve">dla uczniów kształcących się w zawodzie technik </w:t>
      </w:r>
      <w:r w:rsidR="00A9451A" w:rsidRPr="006355E3">
        <w:rPr>
          <w:rFonts w:eastAsia="Times New Roman" w:cs="Times New Roman"/>
          <w:color w:val="auto"/>
          <w:sz w:val="20"/>
          <w:szCs w:val="20"/>
        </w:rPr>
        <w:t>informatyk oraz automatyk</w:t>
      </w:r>
      <w:r w:rsidR="002A638A" w:rsidRPr="006355E3">
        <w:rPr>
          <w:rFonts w:eastAsia="Times New Roman" w:cs="Times New Roman"/>
          <w:color w:val="auto"/>
          <w:sz w:val="20"/>
          <w:szCs w:val="20"/>
        </w:rPr>
        <w:t xml:space="preserve"> lub podobnym, wyposażenie będzie również wykorzystywane do realizacji egzaminów zawodowych w szkole,</w:t>
      </w:r>
    </w:p>
    <w:p w14:paraId="570887DB" w14:textId="25F3214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- oferowany </w:t>
      </w:r>
      <w:r w:rsidR="00F257C3" w:rsidRPr="006355E3">
        <w:rPr>
          <w:rFonts w:eastAsia="Times New Roman" w:cs="Times New Roman"/>
          <w:color w:val="auto"/>
          <w:sz w:val="20"/>
          <w:szCs w:val="20"/>
        </w:rPr>
        <w:t>przedmiot zamówienia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musi być wolny od obciążeń prawami osób trzecich,</w:t>
      </w:r>
    </w:p>
    <w:p w14:paraId="7D50B173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zamówienie obejmuje również zapewnienie transportu (na koszt i ryzyko) Wykonawcy,</w:t>
      </w:r>
    </w:p>
    <w:p w14:paraId="1BB48144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jeśli dostarczone elementy zamówienia są uszkodzone lub uległy uszkodzeniu podczas transportu zostaną przez Wykonawcę wymienione na nowe lub naprawione przed zgłoszeniem zakończenia dostaw do odbioru,</w:t>
      </w:r>
    </w:p>
    <w:p w14:paraId="76CFC42C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wykonawca jest odpowiedzialny za zabezpieczenie dostarczonego zamówienia do czasu dokonania pisemnego odbioru końcowego /brak uwag/ potwierdzonego przez osoby odpowiedzialne ze strony Zamawiającego,</w:t>
      </w:r>
    </w:p>
    <w:p w14:paraId="1BA5CE36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zawarte w opisie przedmiotu zamówienia informacje na temat parametrów i funkcji sprzętu są danymi minimalnymi. Zamawiający dopuszcza zaoferowanie produktów o rozszerzonych funkcjach i lepszych parametrach, pod warunkiem, iż spełniają one minimalne wymagania określone w niniejszym zamówieniu,</w:t>
      </w:r>
    </w:p>
    <w:p w14:paraId="42E4BBC4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dostawa i instalacja, jeśli dotyczy winny się odbyć w dzień pracy placówki oświatowej, w godzinach uprzednio ustalonych z dyrektorem placówki oświatowej,</w:t>
      </w:r>
    </w:p>
    <w:p w14:paraId="5C043959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Wykonawca jest zobowiązany poinformować dyrektora placówki oświatowej mailowo lub telefonicznie o terminach dostawy, z wyprzedzeniem co najmniej 2 dni roboczych,</w:t>
      </w:r>
    </w:p>
    <w:p w14:paraId="291901CC" w14:textId="3F38FF80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ilekroć w opisie przedmiotu zamówienia wskazane zostały znaki towarowe, patenty, pochodzenie, normy, aprobaty, specyfikacje techniczne i systemy preferencji technicznych Zamawiający dopuszcza rozwiązania równoważne. Równoważność polega na możliwości zaoferowania przedmiotu zamówienia o nie gorszych parametrach technicznych, konfiguracjach, wymaganiach normatywnych itp. Nazwy własne producentów podane w szczegółowym opisie należy rozumieć jako preferowanego typu w zakresie określenia minimalnych wymagań jakościowych. Nie są one wiążące i można dostarczyć elementy równoważne, które posiadają co najmniej takie same lub lepsze normy, parametry techniczne, jakościowe, funkcjonalne, będą tożsame tematycznie i o takim samym przeznaczeniu oraz nie obniżą określonych w opisie przedmiotu zamówienia standardów. Wykonawca zobowiązany jest w takim przypadku wykazać, że dostarczane przez niego artykuły spełniają wymagania określone przez zamawiającego, w związku z czym musi złożyć z ofertą szczegółową specyfikację oferowanego asortymentu celem potwierdzenia zgodności z niniejszą specyfikacją, tak aby Zamawiający mógł stwierdzić czy przedmiot dostawy jest zgodny z opisem przedmiotu zamówienia i spełnia kategorie równoważności</w:t>
      </w:r>
      <w:r w:rsidR="006D69D5" w:rsidRPr="006355E3">
        <w:rPr>
          <w:rFonts w:eastAsia="Times New Roman" w:cs="Times New Roman"/>
          <w:color w:val="auto"/>
          <w:sz w:val="20"/>
          <w:szCs w:val="20"/>
        </w:rPr>
        <w:t>,</w:t>
      </w:r>
    </w:p>
    <w:p w14:paraId="3F66A941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- w przypadku zaproponowania produktu równoważonego Wykonawca dołączy do oferty wszystkie dane techniczne (dokładny opis) umożliwiający jego porównanie z parametrami odpowiedniej pozycji w opisie przedmiotu zamówienia.</w:t>
      </w:r>
    </w:p>
    <w:p w14:paraId="6077FAA7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3ACAE85B" w14:textId="77777777" w:rsidR="009D6D3C" w:rsidRPr="006355E3" w:rsidRDefault="00B7492A" w:rsidP="009D6D3C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IV.1.4) Czy przewiduje się udzielenie zamówień </w:t>
      </w:r>
      <w:r w:rsidR="00597788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powtórz</w:t>
      </w:r>
      <w:r w:rsidR="009D6D3C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onych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715D7A93" w14:textId="4B86DC60" w:rsidR="00B7492A" w:rsidRPr="006355E3" w:rsidRDefault="009D6D3C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przewiduje powtórzenie zamówienia w przypadku udzielenia wykonawcy wybranemu zgodnie z zasadą konkurencyjności zamówienia polegającego na powtórzeniu podobnych usług i jest zgodne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 xml:space="preserve">z przedmiotem zamówienia. </w:t>
      </w:r>
    </w:p>
    <w:p w14:paraId="324AC47E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IV.1.5) Wspólny Słownik Zamówień (CPV):</w:t>
      </w:r>
      <w:r w:rsidRPr="006355E3">
        <w:rPr>
          <w:rFonts w:eastAsia="Times New Roman" w:cs="Times New Roman"/>
          <w:color w:val="auto"/>
          <w:sz w:val="20"/>
          <w:szCs w:val="20"/>
        </w:rPr>
        <w:t xml:space="preserve"> </w:t>
      </w:r>
    </w:p>
    <w:p w14:paraId="1924A06B" w14:textId="7101A5A4" w:rsidR="00B7492A" w:rsidRPr="006355E3" w:rsidRDefault="004446A4" w:rsidP="004446A4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 xml:space="preserve">30213300-8 </w:t>
      </w:r>
      <w:r w:rsidR="00B7492A" w:rsidRPr="006355E3">
        <w:rPr>
          <w:rFonts w:eastAsia="Times New Roman" w:cs="Times New Roman"/>
          <w:color w:val="auto"/>
          <w:sz w:val="20"/>
          <w:szCs w:val="20"/>
        </w:rPr>
        <w:t xml:space="preserve">– </w:t>
      </w:r>
      <w:r w:rsidRPr="006355E3">
        <w:rPr>
          <w:rFonts w:eastAsia="Times New Roman" w:cs="Times New Roman"/>
          <w:color w:val="auto"/>
          <w:sz w:val="20"/>
          <w:szCs w:val="20"/>
        </w:rPr>
        <w:t>Komputer biurkowy</w:t>
      </w:r>
    </w:p>
    <w:p w14:paraId="751B4C9B" w14:textId="0A966322" w:rsidR="005707E5" w:rsidRPr="006355E3" w:rsidRDefault="005707E5" w:rsidP="005707E5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33195100-4 – Monitory</w:t>
      </w:r>
    </w:p>
    <w:p w14:paraId="30D77D00" w14:textId="27299E20" w:rsidR="005707E5" w:rsidRPr="006355E3" w:rsidRDefault="005707E5" w:rsidP="005707E5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30237200-1 - Akcesoria komputerowe</w:t>
      </w:r>
    </w:p>
    <w:p w14:paraId="2A230E11" w14:textId="54044362" w:rsidR="00FD619F" w:rsidRPr="006355E3" w:rsidRDefault="00FD619F" w:rsidP="00FD619F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48700000-5 - Pakiety oprogramowania użytkowego</w:t>
      </w:r>
    </w:p>
    <w:p w14:paraId="655C5F52" w14:textId="68CD072E" w:rsidR="005707E5" w:rsidRPr="006355E3" w:rsidRDefault="005707E5" w:rsidP="00FD619F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30232140-7 – Plotery</w:t>
      </w:r>
    </w:p>
    <w:p w14:paraId="6034BF30" w14:textId="7204121D" w:rsidR="005707E5" w:rsidRPr="006355E3" w:rsidRDefault="005707E5" w:rsidP="00FD619F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42636000-3 - Prasy</w:t>
      </w:r>
    </w:p>
    <w:p w14:paraId="2D2AD861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6355E3">
        <w:rPr>
          <w:rFonts w:eastAsia="Times New Roman" w:cs="Times New Roman"/>
          <w:color w:val="auto"/>
          <w:sz w:val="20"/>
          <w:szCs w:val="20"/>
        </w:rPr>
        <w:t>Zgodnie z treścią ogłoszenia.</w:t>
      </w:r>
    </w:p>
    <w:p w14:paraId="5FBBBADB" w14:textId="77777777" w:rsidR="00B7492A" w:rsidRPr="006355E3" w:rsidRDefault="00B7492A" w:rsidP="00B7492A">
      <w:pPr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</w:p>
    <w:p w14:paraId="4EB77697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lastRenderedPageBreak/>
        <w:t>IV.1.6) Czy dopuszcza się złożenie oferty częściowej: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6F4D6BCC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82D755D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IV.1.7) Czy dopuszcza się złożenie oferty wariantowej: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nie.</w:t>
      </w:r>
    </w:p>
    <w:p w14:paraId="52FC14D3" w14:textId="06D09B65" w:rsidR="00B7492A" w:rsidRPr="006355E3" w:rsidRDefault="00B7492A" w:rsidP="00015C73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IV.2) CZAS TRWANIA ZAMÓWIENIA LUB TERMIN WYKONANIA: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od dnia podpisania umowy maksymalnie do </w:t>
      </w:r>
      <w:r w:rsidR="00C56A4C" w:rsidRPr="006355E3">
        <w:rPr>
          <w:rFonts w:eastAsia="Andale Sans UI" w:cs="Times New Roman"/>
          <w:color w:val="auto"/>
          <w:kern w:val="2"/>
          <w:sz w:val="20"/>
          <w:szCs w:val="20"/>
        </w:rPr>
        <w:t>3</w:t>
      </w:r>
      <w:r w:rsidR="00EE31D9" w:rsidRPr="006355E3">
        <w:rPr>
          <w:rFonts w:eastAsia="Andale Sans UI" w:cs="Times New Roman"/>
          <w:color w:val="auto"/>
          <w:kern w:val="2"/>
          <w:sz w:val="20"/>
          <w:szCs w:val="20"/>
        </w:rPr>
        <w:t>0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  <w:r w:rsidR="00EE31D9" w:rsidRPr="006355E3">
        <w:rPr>
          <w:rFonts w:eastAsia="Andale Sans UI" w:cs="Times New Roman"/>
          <w:color w:val="auto"/>
          <w:kern w:val="2"/>
          <w:sz w:val="20"/>
          <w:szCs w:val="20"/>
        </w:rPr>
        <w:t>września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202</w:t>
      </w:r>
      <w:r w:rsidR="00C56A4C" w:rsidRPr="006355E3">
        <w:rPr>
          <w:rFonts w:eastAsia="Andale Sans UI" w:cs="Times New Roman"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roku.</w:t>
      </w:r>
    </w:p>
    <w:p w14:paraId="0D1507F7" w14:textId="77777777" w:rsidR="00015C73" w:rsidRPr="006355E3" w:rsidRDefault="00015C73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BB7CAA8" w14:textId="77777777" w:rsidR="00B7492A" w:rsidRPr="006355E3" w:rsidRDefault="00B7492A" w:rsidP="00B7492A">
      <w:p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V. INFORMACJE O CHARAKTERZE PRAWNYM, EKONOMICZNYM, FINANSOWYM I TECHNICZNYM</w:t>
      </w:r>
    </w:p>
    <w:p w14:paraId="44E64701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V.1) ZALICZKI</w:t>
      </w:r>
    </w:p>
    <w:p w14:paraId="513EBF23" w14:textId="77777777" w:rsidR="00B7492A" w:rsidRPr="006355E3" w:rsidRDefault="00B7492A" w:rsidP="00B7492A">
      <w:pPr>
        <w:numPr>
          <w:ilvl w:val="0"/>
          <w:numId w:val="11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Czy przewiduje się udzielenie zaliczek na poczet wykonania zamówienia: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6F379062" w14:textId="77777777" w:rsidR="00B7492A" w:rsidRPr="006355E3" w:rsidRDefault="00B7492A" w:rsidP="00F51A14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V.2) WARUNKI UDZIAŁU W POSTĘPOWANIU ORAZ OPIS SPOSOBU DOKONYWANIA OCENY SPEŁNIANIA TYCH WARUNKÓW</w:t>
      </w:r>
    </w:p>
    <w:p w14:paraId="41AAE44E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 2.1) Uprawnienia do wykonywania określonej działalności lub czynności, jeżeli przepisy prawa nakładają obowiązek ich posiadania</w:t>
      </w:r>
    </w:p>
    <w:p w14:paraId="540562F8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6DB2ADBD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7AC03034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V.2.2) Wiedza i doświadczenie</w:t>
      </w:r>
    </w:p>
    <w:p w14:paraId="3A064788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1DF30400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0EED3471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V.2.3) Potencjał techniczny</w:t>
      </w:r>
    </w:p>
    <w:p w14:paraId="3D018E9F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7FC92CBE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63C6840F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V.2.4) Osoby zdolne do wykonania zamówienia</w:t>
      </w:r>
    </w:p>
    <w:p w14:paraId="51C52A36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13F12FA3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26BD47C6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V.2.5) Sytuacja ekonomiczna i finansowa</w:t>
      </w:r>
    </w:p>
    <w:p w14:paraId="46773C50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6751AA8B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nie opisuje i nie wyznacza szczegółowego warunku w tym zakresie.</w:t>
      </w:r>
    </w:p>
    <w:p w14:paraId="43087C66" w14:textId="77777777" w:rsidR="00B7492A" w:rsidRPr="006355E3" w:rsidRDefault="00B7492A" w:rsidP="00B7492A">
      <w:pPr>
        <w:numPr>
          <w:ilvl w:val="0"/>
          <w:numId w:val="12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V.2.6) Inne</w:t>
      </w:r>
    </w:p>
    <w:p w14:paraId="37993018" w14:textId="77777777" w:rsidR="00B7492A" w:rsidRPr="006355E3" w:rsidRDefault="00B7492A" w:rsidP="00B7492A">
      <w:pPr>
        <w:tabs>
          <w:tab w:val="left" w:pos="0"/>
        </w:tabs>
        <w:suppressAutoHyphens/>
        <w:spacing w:after="0" w:line="240" w:lineRule="auto"/>
        <w:ind w:left="707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Opis sposobu dokonywania oceny spełniania tego warunku</w:t>
      </w:r>
    </w:p>
    <w:p w14:paraId="0AD6D6CC" w14:textId="77777777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 xml:space="preserve">Z postępowania wyłączone są podmioty posiadające powiązania osobowe lub kapitałowe </w:t>
      </w:r>
      <w:r w:rsidRPr="006355E3">
        <w:rPr>
          <w:rFonts w:eastAsia="Andale Sans UI"/>
          <w:color w:val="auto"/>
          <w:kern w:val="2"/>
          <w:sz w:val="20"/>
          <w:szCs w:val="20"/>
        </w:rPr>
        <w:br/>
        <w:t>z Zamawiającym - zgodnie z treścią załącznika nr 3.</w:t>
      </w:r>
    </w:p>
    <w:p w14:paraId="6EFB0DEC" w14:textId="1010564A" w:rsidR="00B7492A" w:rsidRPr="006355E3" w:rsidRDefault="00B7492A" w:rsidP="00B7492A">
      <w:pPr>
        <w:numPr>
          <w:ilvl w:val="1"/>
          <w:numId w:val="12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 xml:space="preserve">Oświadczenie </w:t>
      </w:r>
      <w:r w:rsidR="008021DF" w:rsidRPr="006355E3">
        <w:rPr>
          <w:rFonts w:eastAsia="Andale Sans UI"/>
          <w:color w:val="auto"/>
          <w:kern w:val="2"/>
          <w:sz w:val="20"/>
          <w:szCs w:val="20"/>
        </w:rPr>
        <w:t>o braku spełnienia przesłanek wykluczenia</w:t>
      </w:r>
      <w:r w:rsidRPr="006355E3">
        <w:rPr>
          <w:rFonts w:eastAsia="Andale Sans UI"/>
          <w:color w:val="auto"/>
          <w:kern w:val="2"/>
          <w:sz w:val="20"/>
          <w:szCs w:val="20"/>
        </w:rPr>
        <w:t xml:space="preserve"> – zgodnie z treścią załącznika nr 6.</w:t>
      </w:r>
    </w:p>
    <w:p w14:paraId="576F308F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V.3) INFORMACJA O OŚWIADCZENIACH LUB DOKUMENTACH, JAKIE MAJĄ DOSTARCZYĆ WYKONAWCY W CELU POTWIERDZENIA SPEŁNIANIA WARUNKÓW UDZIAŁU W POSTĘPOWANIU </w:t>
      </w:r>
    </w:p>
    <w:p w14:paraId="5FA6B983" w14:textId="77777777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1 – wzór oferty z załącznikami;</w:t>
      </w:r>
    </w:p>
    <w:p w14:paraId="1A27AF15" w14:textId="77777777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2 i 2a – SIWZ oraz szczegółowy opis przedmiotu zamówienia;</w:t>
      </w:r>
    </w:p>
    <w:p w14:paraId="7F747FF5" w14:textId="77777777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3 – oświadczenie o braku powiązania osobowego lub kapitałowego z Zamawiającym, przez które rozumie się wzajemne powiązania między Zamawiającym lub osobami upoważnionymi do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lastRenderedPageBreak/>
        <w:t xml:space="preserve">zaciągania zobowiązań w imieniu Zamawiającego lub osobami wykonującymi w imieniu Zamawiającego czynności związane z przygotowaniem procedury wyboru Wykonawcy,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a Wykonawcą, polegające w szczególności na:</w:t>
      </w:r>
    </w:p>
    <w:p w14:paraId="335DD736" w14:textId="77777777" w:rsidR="00B7492A" w:rsidRPr="006355E3" w:rsidRDefault="00B7492A" w:rsidP="00B7492A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Uczestniczeniu w spółce jako wspólnik spółki cywilnej lub spółki osobowej;</w:t>
      </w:r>
    </w:p>
    <w:p w14:paraId="3215FA2D" w14:textId="77777777" w:rsidR="00B7492A" w:rsidRPr="006355E3" w:rsidRDefault="00B7492A" w:rsidP="00B7492A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Posiadaniu co najmniej 10% udziałów lub akcji;</w:t>
      </w:r>
    </w:p>
    <w:p w14:paraId="102B55BC" w14:textId="77777777" w:rsidR="00B7492A" w:rsidRPr="006355E3" w:rsidRDefault="00B7492A" w:rsidP="00B7492A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Pełnieniu członka organu nadzorczego lub zarządzającego, prokurenta, pełnomocnika; </w:t>
      </w:r>
    </w:p>
    <w:p w14:paraId="6984C86A" w14:textId="77777777" w:rsidR="00B7492A" w:rsidRPr="006355E3" w:rsidRDefault="00B7492A" w:rsidP="00B7492A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2609706A" w14:textId="77777777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Załączniki nr 4 – Podpisany obowiązek informacyjny – RODO;</w:t>
      </w:r>
    </w:p>
    <w:p w14:paraId="532A472E" w14:textId="77777777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5 – Podpisane oświadczenie o wypełnieniu obowiązków informacyjnych przewidzianych w art. 13 oraz 14 – RODO (jeśli dotyczy);</w:t>
      </w:r>
    </w:p>
    <w:p w14:paraId="17F9A427" w14:textId="0E09119F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6 - Oświadczenie </w:t>
      </w:r>
      <w:r w:rsidR="00D97053" w:rsidRPr="006355E3">
        <w:rPr>
          <w:rFonts w:eastAsia="Andale Sans UI" w:cs="Times New Roman"/>
          <w:color w:val="auto"/>
          <w:kern w:val="2"/>
          <w:sz w:val="20"/>
          <w:szCs w:val="20"/>
        </w:rPr>
        <w:t>o braku spełnienia przesłanek wykluczenia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;</w:t>
      </w:r>
    </w:p>
    <w:p w14:paraId="30267CC4" w14:textId="12965ED5" w:rsidR="00B7492A" w:rsidRPr="006355E3" w:rsidRDefault="00B7492A" w:rsidP="00B7492A">
      <w:pPr>
        <w:numPr>
          <w:ilvl w:val="0"/>
          <w:numId w:val="13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</w:t>
      </w:r>
      <w:r w:rsidR="00D97053" w:rsidRPr="006355E3">
        <w:rPr>
          <w:rFonts w:eastAsia="Andale Sans UI" w:cs="Times New Roman"/>
          <w:color w:val="auto"/>
          <w:kern w:val="2"/>
          <w:sz w:val="20"/>
          <w:szCs w:val="20"/>
        </w:rPr>
        <w:t>7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- Zaparafowany i podpisany na ostatniej stronie w odpowiednim miejscu wzór umowy.</w:t>
      </w:r>
    </w:p>
    <w:p w14:paraId="4F8D4B56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V.4) Czy ogranicza się możliwość ubiegania się o zamówienie publiczne tylko dla wykonawców, u których ponad 50 % pracowników stanowią osoby niepełnosprawne: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nie</w:t>
      </w:r>
    </w:p>
    <w:p w14:paraId="7A8FFDCD" w14:textId="77777777" w:rsidR="00B7492A" w:rsidRPr="006355E3" w:rsidRDefault="00B7492A" w:rsidP="00B7492A">
      <w:p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color w:val="auto"/>
          <w:sz w:val="20"/>
          <w:szCs w:val="20"/>
        </w:rPr>
        <w:t>VI. PROCEDURA</w:t>
      </w:r>
    </w:p>
    <w:p w14:paraId="0108A055" w14:textId="77777777" w:rsidR="00B7492A" w:rsidRPr="006355E3" w:rsidRDefault="00B7492A" w:rsidP="00B7492A">
      <w:pPr>
        <w:widowControl w:val="0"/>
        <w:tabs>
          <w:tab w:val="center" w:pos="4535"/>
        </w:tabs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VI.1) TRYB UDZIELENIA ZAMÓWIENIA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ab/>
      </w:r>
    </w:p>
    <w:p w14:paraId="42FB7DEC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VI.1.1) Tryb udzielenia zamówienia: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zapytanie ofertowe </w:t>
      </w:r>
    </w:p>
    <w:p w14:paraId="451AA48C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VI.2) KRYTERIA OCENY OFERT</w:t>
      </w:r>
    </w:p>
    <w:p w14:paraId="2A275DB0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VI.2.1) Kryteria oceny ofert oraz sposób oceny: </w:t>
      </w:r>
    </w:p>
    <w:p w14:paraId="069BB2BC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1. cena brutto - waga 80%,</w:t>
      </w:r>
    </w:p>
    <w:p w14:paraId="1E2482E2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2. termin płatności z zachowaniem minimum 30 dni lub więcej – waga 20%, </w:t>
      </w:r>
    </w:p>
    <w:p w14:paraId="79BDCE7F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1A7D966" w14:textId="77777777" w:rsidR="008021DF" w:rsidRPr="006355E3" w:rsidRDefault="008021DF" w:rsidP="008021DF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VI.2.1.1 Sposób obliczenia ceny oferty:</w:t>
      </w:r>
    </w:p>
    <w:p w14:paraId="1F4BC9E4" w14:textId="77777777" w:rsidR="008021DF" w:rsidRPr="006355E3" w:rsidRDefault="008021DF" w:rsidP="008021DF">
      <w:pPr>
        <w:numPr>
          <w:ilvl w:val="0"/>
          <w:numId w:val="1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W formularzu ofertowym należy podać cenę brutto w polskich złotych (PLN) do dwóch miejsc po przecinku.</w:t>
      </w:r>
    </w:p>
    <w:p w14:paraId="398CED45" w14:textId="77777777" w:rsidR="008021DF" w:rsidRPr="006355E3" w:rsidRDefault="008021DF" w:rsidP="008021DF">
      <w:pPr>
        <w:numPr>
          <w:ilvl w:val="0"/>
          <w:numId w:val="15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W formularzu ofertowym należy podać ilość dni płatności za fakturę.</w:t>
      </w:r>
    </w:p>
    <w:p w14:paraId="6E77534E" w14:textId="77777777" w:rsidR="008021DF" w:rsidRPr="006355E3" w:rsidRDefault="008021DF" w:rsidP="008021DF">
      <w:pPr>
        <w:numPr>
          <w:ilvl w:val="0"/>
          <w:numId w:val="15"/>
        </w:numPr>
        <w:suppressAutoHyphens/>
        <w:spacing w:after="283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 ofertę najkorzystniejszą zamawiający uzna taką, która uzyskała największą punktację spośród ocenianych.</w:t>
      </w:r>
    </w:p>
    <w:p w14:paraId="72C3DAC2" w14:textId="77777777" w:rsidR="008021DF" w:rsidRPr="006355E3" w:rsidRDefault="008021DF" w:rsidP="008021DF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VI.2.1.1 Kryterium oceny ofert, którymi zamawiający będzie się kierował przy wyborze oferty, wraz z podaniem znaczenia tego kryterium oraz sposobu oceny ofert:</w:t>
      </w:r>
    </w:p>
    <w:p w14:paraId="5EAC3564" w14:textId="77777777" w:rsidR="008021DF" w:rsidRPr="006355E3" w:rsidRDefault="008021DF" w:rsidP="008021DF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dokona oceny i porównania ofert oraz wyboru oferty najkorzystniejszej w oparciu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o następujące kryteria:</w:t>
      </w:r>
    </w:p>
    <w:p w14:paraId="0F893358" w14:textId="77777777" w:rsidR="008021DF" w:rsidRPr="006355E3" w:rsidRDefault="008021DF" w:rsidP="008021DF">
      <w:pPr>
        <w:numPr>
          <w:ilvl w:val="0"/>
          <w:numId w:val="16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Cena brutto – wartość wagowa ceny 80%, na podstawie druku nr 1 (załącznik nr 1)</w:t>
      </w:r>
    </w:p>
    <w:p w14:paraId="1D836DAB" w14:textId="77777777" w:rsidR="008021DF" w:rsidRPr="006355E3" w:rsidRDefault="008021DF" w:rsidP="008021DF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56130386" w14:textId="77777777" w:rsidR="008021DF" w:rsidRPr="006355E3" w:rsidRDefault="008021DF" w:rsidP="008021DF">
      <w:pPr>
        <w:tabs>
          <w:tab w:val="left" w:pos="3240"/>
        </w:tabs>
        <w:autoSpaceDE w:val="0"/>
        <w:spacing w:after="0" w:line="240" w:lineRule="auto"/>
        <w:ind w:left="36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ab/>
        <w:t>cena oferty najtańszej</w:t>
      </w:r>
    </w:p>
    <w:p w14:paraId="327B13AE" w14:textId="77777777" w:rsidR="008021DF" w:rsidRPr="006355E3" w:rsidRDefault="008021DF" w:rsidP="008021DF">
      <w:pPr>
        <w:tabs>
          <w:tab w:val="left" w:pos="2160"/>
        </w:tabs>
        <w:autoSpaceDE w:val="0"/>
        <w:spacing w:after="0" w:line="240" w:lineRule="auto"/>
        <w:ind w:left="720" w:firstLine="0"/>
        <w:jc w:val="both"/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>ilość punktów =</w:t>
      </w:r>
      <w:r w:rsidRPr="006355E3">
        <w:rPr>
          <w:rFonts w:eastAsia="Times New Roman" w:cs="Times New Roman"/>
          <w:b/>
          <w:bCs/>
          <w:color w:val="auto"/>
          <w:kern w:val="2"/>
          <w:position w:val="22"/>
          <w:sz w:val="20"/>
          <w:szCs w:val="20"/>
        </w:rPr>
        <w:tab/>
        <w:t xml:space="preserve"> _____________________     </w:t>
      </w:r>
      <w:r w:rsidRPr="006355E3">
        <w:rPr>
          <w:rFonts w:eastAsia="Times New Roman" w:cs="Times New Roman"/>
          <w:b/>
          <w:bCs/>
          <w:color w:val="auto"/>
          <w:kern w:val="2"/>
          <w:position w:val="6"/>
          <w:sz w:val="20"/>
          <w:szCs w:val="20"/>
        </w:rPr>
        <w:t>x 80 pkt</w:t>
      </w:r>
    </w:p>
    <w:p w14:paraId="36AED88C" w14:textId="77777777" w:rsidR="008021DF" w:rsidRPr="006355E3" w:rsidRDefault="008021DF" w:rsidP="008021DF">
      <w:pPr>
        <w:tabs>
          <w:tab w:val="left" w:pos="3240"/>
        </w:tabs>
        <w:autoSpaceDE w:val="0"/>
        <w:spacing w:after="0" w:line="240" w:lineRule="auto"/>
        <w:ind w:left="0" w:firstLine="0"/>
        <w:jc w:val="both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6355E3">
        <w:rPr>
          <w:rFonts w:eastAsia="Times New Roman" w:cs="Times New Roman"/>
          <w:b/>
          <w:bCs/>
          <w:color w:val="auto"/>
          <w:sz w:val="20"/>
          <w:szCs w:val="20"/>
        </w:rPr>
        <w:tab/>
        <w:t xml:space="preserve">  cena oferty badanej</w:t>
      </w:r>
    </w:p>
    <w:p w14:paraId="6CB640A2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72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6DA7586" w14:textId="77777777" w:rsidR="008021DF" w:rsidRPr="006355E3" w:rsidRDefault="008021DF" w:rsidP="008021DF">
      <w:pPr>
        <w:widowControl w:val="0"/>
        <w:numPr>
          <w:ilvl w:val="0"/>
          <w:numId w:val="16"/>
        </w:numPr>
        <w:suppressAutoHyphens/>
        <w:spacing w:after="0" w:line="240" w:lineRule="auto"/>
        <w:ind w:left="1440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Termin płatności z zachowaniem minimum 30 dni lub więcej – wartość wagowa oceny 20%, na podstawie druku nr 1 (załącznik nr 1)</w:t>
      </w:r>
    </w:p>
    <w:p w14:paraId="25DB5419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1428" w:firstLine="696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6A360252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1428" w:firstLine="696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ocena oferty badanej oferenta</w:t>
      </w:r>
    </w:p>
    <w:p w14:paraId="3503E951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72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ilość punktów =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ab/>
        <w:t xml:space="preserve"> _____________________     x 20 pkt</w:t>
      </w:r>
    </w:p>
    <w:p w14:paraId="721AA6FC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72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ab/>
        <w:t xml:space="preserve">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ab/>
        <w:t xml:space="preserve"> ocena oferty z najdłuższym terminem płatności</w:t>
      </w:r>
    </w:p>
    <w:p w14:paraId="0384F43B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E9A3774" w14:textId="77777777" w:rsidR="008021DF" w:rsidRPr="006355E3" w:rsidRDefault="008021DF" w:rsidP="008021DF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Maksymalnie można otrzymać 100 punktów.</w:t>
      </w:r>
    </w:p>
    <w:p w14:paraId="760E20AA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VI.2.2) Czy przeprowadzona będzie aukcja elektroniczna: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nie</w:t>
      </w:r>
    </w:p>
    <w:p w14:paraId="170813AB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VI.3) ZMIANA UMOWY</w:t>
      </w:r>
    </w:p>
    <w:p w14:paraId="2BE74EFB" w14:textId="77777777" w:rsidR="00B7492A" w:rsidRPr="006355E3" w:rsidRDefault="00B7492A" w:rsidP="00B7492A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Czy przewiduje się istotne zmiany postanowień zawartej umowy w stosunku do treści oferty, na podstawie której dokonano wyboru wykonawcy: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tak</w:t>
      </w:r>
    </w:p>
    <w:p w14:paraId="63CDAE13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Dopuszczalne zmiany postanowień umowy oraz określenie warunków zmian</w:t>
      </w:r>
    </w:p>
    <w:p w14:paraId="5DA0618A" w14:textId="77777777" w:rsidR="008021DF" w:rsidRPr="006355E3" w:rsidRDefault="008021DF" w:rsidP="008021DF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dopuszcza możliwość dokonania zmian postanowień zawartej umowy w stosunku do treści oferty, na podstawie której dokonano wyboru oferenta w przypadku: </w:t>
      </w:r>
    </w:p>
    <w:p w14:paraId="6CCAD082" w14:textId="77777777" w:rsidR="008021DF" w:rsidRPr="006355E3" w:rsidRDefault="008021DF" w:rsidP="008021D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promocyjnych obniżek cen jednostkowych przedmiotu umowy, </w:t>
      </w:r>
    </w:p>
    <w:p w14:paraId="3BAE0DAD" w14:textId="77777777" w:rsidR="008021DF" w:rsidRPr="006355E3" w:rsidRDefault="008021DF" w:rsidP="008021D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zmian ilościowych zamawianego przedmiotu umowy w zakresie poszczególnych pozycji oferty, do wysokości cen zawartych w ofercie, </w:t>
      </w:r>
    </w:p>
    <w:p w14:paraId="1F4F88D5" w14:textId="77777777" w:rsidR="008021DF" w:rsidRPr="006355E3" w:rsidRDefault="008021DF" w:rsidP="008021D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poszerzenia zakresu przedmiotu umowy, w tym ilości zakupionego wyposażenia pracowni zgodnie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z ogłoszeniem,</w:t>
      </w:r>
    </w:p>
    <w:p w14:paraId="494104D5" w14:textId="77777777" w:rsidR="008021DF" w:rsidRPr="006355E3" w:rsidRDefault="008021DF" w:rsidP="008021DF">
      <w:pPr>
        <w:numPr>
          <w:ilvl w:val="0"/>
          <w:numId w:val="17"/>
        </w:numPr>
        <w:suppressAutoHyphens/>
        <w:spacing w:after="0" w:line="240" w:lineRule="auto"/>
        <w:ind w:left="284" w:firstLine="142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innych okoliczności, których nie można było przewidzieć w chwili zawarcia umowy lub zmiany te są korzystne dla Zamawiającego,</w:t>
      </w:r>
    </w:p>
    <w:p w14:paraId="1EEA72C7" w14:textId="77777777" w:rsidR="008021DF" w:rsidRPr="006355E3" w:rsidRDefault="008021DF" w:rsidP="008021D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zmiany w obowiązujących przepisach prawa, mające wpływ na przedmiot i warunki umowy oraz zmiana sytuacji prawnej lub faktycznej Wykonawcy i/lub Zamawiającego skutkująca niemożliwość realizacji przedmiotu umowy,</w:t>
      </w:r>
    </w:p>
    <w:p w14:paraId="23420068" w14:textId="77777777" w:rsidR="008021DF" w:rsidRPr="006355E3" w:rsidRDefault="008021DF" w:rsidP="008021DF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zawieszenia.</w:t>
      </w:r>
    </w:p>
    <w:p w14:paraId="36164D87" w14:textId="77777777" w:rsidR="008021DF" w:rsidRPr="006355E3" w:rsidRDefault="008021DF" w:rsidP="008021DF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2209E1DB" w14:textId="77777777" w:rsidR="00F51A14" w:rsidRPr="006355E3" w:rsidRDefault="00F51A14" w:rsidP="008021DF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10A91348" w14:textId="77777777" w:rsidR="008021DF" w:rsidRPr="006355E3" w:rsidRDefault="008021DF" w:rsidP="008021DF">
      <w:pPr>
        <w:spacing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Wynagrodzenie Wykonawcy określone w umowie może ulec zmianom w następujących przypadkach:</w:t>
      </w:r>
    </w:p>
    <w:p w14:paraId="41555F76" w14:textId="77777777" w:rsidR="008021DF" w:rsidRPr="006355E3" w:rsidRDefault="008021DF" w:rsidP="008021DF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rezygnacji z części zadań, których wykonanie nie będzie konieczne lub będzie bezcelowe,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w przypadku okoliczności, których nie można było przewidzieć w chwili zawarcia umowy – o wartość niewykonanych zadań,</w:t>
      </w:r>
    </w:p>
    <w:p w14:paraId="033C1573" w14:textId="77777777" w:rsidR="008021DF" w:rsidRPr="006355E3" w:rsidRDefault="008021DF" w:rsidP="008021DF">
      <w:pPr>
        <w:numPr>
          <w:ilvl w:val="0"/>
          <w:numId w:val="18"/>
        </w:numPr>
        <w:spacing w:after="0" w:line="240" w:lineRule="auto"/>
        <w:contextualSpacing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wysokość wynagrodzenia może zostać waloryzowana przy uwzględnieniu wskaźnika wzrostu cen towarów i usług konsumpcyjnych, ogłaszanego przez Prezesa GUS po zaopiniowaniu i uzyskaniu zgody przez instytucję pośredniczącą ogłaszająca konkurs, w ramach którego realizowany jest przedmiot zamówienia.</w:t>
      </w:r>
    </w:p>
    <w:p w14:paraId="0F76D7EA" w14:textId="77777777" w:rsidR="00B7492A" w:rsidRPr="006355E3" w:rsidRDefault="00B7492A" w:rsidP="00B7492A">
      <w:p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5D45E4A7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VI.4) INFORMACJE ADMINISTRACYJNE</w:t>
      </w:r>
    </w:p>
    <w:p w14:paraId="0BE757E1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VI.4.2) Termin składania ofert: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</w:t>
      </w:r>
    </w:p>
    <w:p w14:paraId="4523052A" w14:textId="743C7EE6" w:rsidR="00B7492A" w:rsidRPr="006355E3" w:rsidRDefault="00B7492A" w:rsidP="00B7492A">
      <w:pPr>
        <w:numPr>
          <w:ilvl w:val="0"/>
          <w:numId w:val="19"/>
        </w:numPr>
        <w:suppressAutoHyphens/>
        <w:spacing w:after="0" w:line="240" w:lineRule="auto"/>
        <w:ind w:left="1440"/>
        <w:jc w:val="both"/>
        <w:rPr>
          <w:rFonts w:eastAsia="Andale Sans UI"/>
          <w:color w:val="auto"/>
          <w:kern w:val="2"/>
          <w:sz w:val="20"/>
          <w:szCs w:val="20"/>
          <w:u w:val="single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Oferty należy składać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do </w:t>
      </w:r>
      <w:r w:rsidR="00106DB6">
        <w:rPr>
          <w:rFonts w:eastAsia="Andale Sans UI" w:cs="Times New Roman"/>
          <w:b/>
          <w:color w:val="auto"/>
          <w:kern w:val="2"/>
          <w:sz w:val="20"/>
          <w:szCs w:val="20"/>
        </w:rPr>
        <w:t>07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4250C7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r.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drogą elektroniczną za pośrednictwem portalu https://bazakonkurencyjnosci.funduszeeuropejskie.gov.pl/ </w:t>
      </w:r>
    </w:p>
    <w:p w14:paraId="6B89FF76" w14:textId="39F4BD8E" w:rsidR="00B7492A" w:rsidRPr="006355E3" w:rsidRDefault="00B7492A" w:rsidP="00B7492A">
      <w:pPr>
        <w:numPr>
          <w:ilvl w:val="0"/>
          <w:numId w:val="19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Termin wyboru ofert ustalono do </w:t>
      </w:r>
      <w:r w:rsidR="00EE31D9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31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4250C7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r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. do godz.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17:00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.</w:t>
      </w:r>
    </w:p>
    <w:p w14:paraId="281A3E97" w14:textId="77777777" w:rsidR="00B7492A" w:rsidRPr="006355E3" w:rsidRDefault="00B7492A" w:rsidP="00B7492A">
      <w:pPr>
        <w:suppressAutoHyphens/>
        <w:spacing w:after="0" w:line="240" w:lineRule="auto"/>
        <w:ind w:left="72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1DFEFEA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b/>
          <w:color w:val="auto"/>
          <w:kern w:val="2"/>
          <w:sz w:val="20"/>
          <w:szCs w:val="20"/>
        </w:rPr>
      </w:pPr>
      <w:r w:rsidRPr="006355E3">
        <w:rPr>
          <w:rFonts w:eastAsia="Andale Sans UI"/>
          <w:b/>
          <w:color w:val="auto"/>
          <w:kern w:val="2"/>
          <w:sz w:val="20"/>
          <w:szCs w:val="20"/>
        </w:rPr>
        <w:t>Dodatkowe informacje, do składania ofert:</w:t>
      </w:r>
    </w:p>
    <w:p w14:paraId="57039B4E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 xml:space="preserve">- oferta musi być podpisana w wyznaczonych miejscach przez Wykonawcę lub osobę upoważnioną przez Wykonawcę. </w:t>
      </w:r>
    </w:p>
    <w:p w14:paraId="4069DB20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lastRenderedPageBreak/>
        <w:t>- w przypadku, kiedy ofertę składa (podpisuje i/lub parafuje) osoba upoważniona, do oferty należy dołączyć pełnomocnictwo Wykonawcy, z którego będzie wynikało upoważnienie do dokonywania określonych czynności prawnych i faktycznych w imieniu Wykonawcy,</w:t>
      </w:r>
    </w:p>
    <w:p w14:paraId="380821A8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Wykonawca ponosi wszelkie koszty związane z przygotowaniem i złożeniem oferty. Zamawiający nie odpowiada za koszty poniesione przez Wykonawcę w związku z przygotowaniem i złożeniem oferty,</w:t>
      </w:r>
    </w:p>
    <w:p w14:paraId="2B000B5D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oferty złożone po terminie nie będą rozpatrywane,</w:t>
      </w:r>
    </w:p>
    <w:p w14:paraId="3BC0C6C0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oferty niekompletne, niepodpisane mogą zostać odrzucone przez Zamawiającego,</w:t>
      </w:r>
    </w:p>
    <w:p w14:paraId="6D959707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brak wskazania ilości dni w formularzu ofertowym powoduje automatyczne odrzucenie oferty,</w:t>
      </w:r>
    </w:p>
    <w:p w14:paraId="1ECFDB3C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 xml:space="preserve">- wskazanie w </w:t>
      </w:r>
      <w:r w:rsidRPr="006355E3">
        <w:rPr>
          <w:rFonts w:eastAsia="Andale Sans UI"/>
          <w:b/>
          <w:color w:val="auto"/>
          <w:kern w:val="2"/>
          <w:sz w:val="20"/>
          <w:szCs w:val="20"/>
        </w:rPr>
        <w:t>formularzu ofertowym ilości dni poniżej</w:t>
      </w:r>
      <w:r w:rsidRPr="006355E3">
        <w:rPr>
          <w:rFonts w:eastAsia="Andale Sans UI"/>
          <w:color w:val="auto"/>
          <w:kern w:val="2"/>
          <w:sz w:val="20"/>
          <w:szCs w:val="20"/>
        </w:rPr>
        <w:t xml:space="preserve"> </w:t>
      </w:r>
      <w:r w:rsidRPr="006355E3">
        <w:rPr>
          <w:rFonts w:eastAsia="Andale Sans UI"/>
          <w:b/>
          <w:color w:val="auto"/>
          <w:kern w:val="2"/>
          <w:sz w:val="20"/>
          <w:szCs w:val="20"/>
        </w:rPr>
        <w:t>30 powoduje automatyczne odrzucenie oferty</w:t>
      </w:r>
      <w:r w:rsidRPr="006355E3">
        <w:rPr>
          <w:rFonts w:eastAsia="Andale Sans UI"/>
          <w:color w:val="auto"/>
          <w:kern w:val="2"/>
          <w:sz w:val="20"/>
          <w:szCs w:val="20"/>
        </w:rPr>
        <w:t>,</w:t>
      </w:r>
    </w:p>
    <w:p w14:paraId="271A51A8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Zamawiający zastrzega sobie prawo do wezwania Wykonawców do złożenia wyjaśnień lub uzupełnień złożonych ofert w wyznaczonym przez Zamawiającego terminie,</w:t>
      </w:r>
    </w:p>
    <w:p w14:paraId="769E4499" w14:textId="34E60E67" w:rsidR="00803B87" w:rsidRPr="006355E3" w:rsidRDefault="00803B87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Zamawiający wyznacza standardowy termin na uzupełnienie oferty w zakresie formalnym do 2 dni oraz merytorycznym do 3 dni,</w:t>
      </w:r>
    </w:p>
    <w:p w14:paraId="37BB7119" w14:textId="77777777" w:rsidR="00B7492A" w:rsidRPr="006355E3" w:rsidRDefault="00B7492A" w:rsidP="00B7492A">
      <w:pPr>
        <w:widowControl w:val="0"/>
        <w:suppressAutoHyphens/>
        <w:spacing w:after="0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 xml:space="preserve">- przed upływem terminu składania ofert Wykonawca może wprowadzać zmiany do złożonej oferty lub wycofać ofertę. </w:t>
      </w:r>
    </w:p>
    <w:p w14:paraId="2CEEA878" w14:textId="77777777" w:rsidR="00B7492A" w:rsidRPr="006355E3" w:rsidRDefault="00B7492A" w:rsidP="00B7492A">
      <w:pPr>
        <w:widowControl w:val="0"/>
        <w:suppressAutoHyphens/>
        <w:spacing w:after="283" w:line="240" w:lineRule="auto"/>
        <w:jc w:val="both"/>
        <w:rPr>
          <w:rFonts w:eastAsia="Andale Sans UI"/>
          <w:color w:val="auto"/>
          <w:kern w:val="2"/>
          <w:sz w:val="20"/>
          <w:szCs w:val="20"/>
        </w:rPr>
      </w:pPr>
      <w:r w:rsidRPr="006355E3">
        <w:rPr>
          <w:rFonts w:eastAsia="Andale Sans UI"/>
          <w:color w:val="auto"/>
          <w:kern w:val="2"/>
          <w:sz w:val="20"/>
          <w:szCs w:val="20"/>
        </w:rPr>
        <w:t>- Wykonawca nie może wycofać i wprowadzać zmian w treści oferty po upływie terminu składania ofert.</w:t>
      </w:r>
    </w:p>
    <w:p w14:paraId="5AC1DC02" w14:textId="5D04553A" w:rsidR="00B7492A" w:rsidRPr="006355E3" w:rsidRDefault="00B7492A" w:rsidP="00B7492A">
      <w:pPr>
        <w:widowControl w:val="0"/>
        <w:suppressAutoHyphens/>
        <w:spacing w:after="283" w:line="240" w:lineRule="auto"/>
        <w:ind w:left="108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VI.4.3) Termin związania ofertą: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okres w dniach: 30 (od ostatecznego terminu składania ofert) -</w:t>
      </w:r>
      <w:r w:rsidRPr="006355E3">
        <w:rPr>
          <w:color w:val="auto"/>
          <w:sz w:val="20"/>
          <w:szCs w:val="20"/>
        </w:rPr>
        <w:t xml:space="preserve">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tj. </w:t>
      </w:r>
      <w:r w:rsidR="00106DB6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07</w:t>
      </w:r>
      <w:r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.</w:t>
      </w:r>
      <w:r w:rsidR="008021DF"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0</w:t>
      </w:r>
      <w:r w:rsidR="004250C7"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8</w:t>
      </w:r>
      <w:r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.202</w:t>
      </w:r>
      <w:r w:rsidR="008021DF"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b/>
          <w:bCs/>
          <w:color w:val="auto"/>
          <w:kern w:val="2"/>
          <w:sz w:val="20"/>
          <w:szCs w:val="20"/>
        </w:rPr>
        <w:t>r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. lub późniejszy, jeżeli termin złożenia ofert zostanie przedłużony i upubliczniony.</w:t>
      </w:r>
    </w:p>
    <w:p w14:paraId="5A221F74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VI.4.4) Pytania i odpowiedzi: </w:t>
      </w:r>
    </w:p>
    <w:p w14:paraId="6A1D801A" w14:textId="77777777" w:rsidR="00B7492A" w:rsidRPr="006355E3" w:rsidRDefault="00B7492A" w:rsidP="00B7492A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Wykonawca może się zwrócić do Zamawiającego o wyjaśnienie treści zapytania ofertowego za pośrednictwem portalu Baza Konkurencyjności.</w:t>
      </w:r>
    </w:p>
    <w:p w14:paraId="08C852EB" w14:textId="2EF952C2" w:rsidR="00B7492A" w:rsidRPr="006355E3" w:rsidRDefault="00B7492A" w:rsidP="00B7492A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Ostateczny termin nadesłania pytań do Zamawiającego to </w:t>
      </w:r>
      <w:r w:rsidR="00A277BD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106DB6">
        <w:rPr>
          <w:rFonts w:eastAsia="Andale Sans UI" w:cs="Times New Roman"/>
          <w:b/>
          <w:color w:val="auto"/>
          <w:kern w:val="2"/>
          <w:sz w:val="20"/>
          <w:szCs w:val="20"/>
        </w:rPr>
        <w:t>3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A277BD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roku.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Pytania przesłane po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dniu </w:t>
      </w:r>
      <w:r w:rsidR="00A277BD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106DB6">
        <w:rPr>
          <w:rFonts w:eastAsia="Andale Sans UI" w:cs="Times New Roman"/>
          <w:b/>
          <w:color w:val="auto"/>
          <w:kern w:val="2"/>
          <w:sz w:val="20"/>
          <w:szCs w:val="20"/>
        </w:rPr>
        <w:t>3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0</w:t>
      </w:r>
      <w:r w:rsidR="00A277BD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7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.202</w:t>
      </w:r>
      <w:r w:rsidR="008021DF"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5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 xml:space="preserve"> roku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>, pozostaną bez odpowiedzi przez Zamawiającego.</w:t>
      </w:r>
    </w:p>
    <w:p w14:paraId="0821C350" w14:textId="77777777" w:rsidR="00B7492A" w:rsidRPr="006355E3" w:rsidRDefault="00B7492A" w:rsidP="00B7492A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jest obowiązany udzielić odpowiedzi i wyjaśnień niezwłocznie, jednak nie później niż na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2 dni przed upływem terminu składania ofert, pod warunkiem, że wniosek o wyjaśnienie treści zapytania ofertowego wpłynął do Zamawiającego nie później niż do terminu wskazanego w zapytaniu.</w:t>
      </w:r>
    </w:p>
    <w:p w14:paraId="124E818C" w14:textId="21A0C2E6" w:rsidR="00B7492A" w:rsidRPr="006355E3" w:rsidRDefault="00B7492A" w:rsidP="00B7492A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Treść pytań, bez ujawnienia źródła oraz treś</w:t>
      </w:r>
      <w:r w:rsidR="00803B87" w:rsidRPr="006355E3">
        <w:rPr>
          <w:rFonts w:eastAsia="Andale Sans UI" w:cs="Times New Roman"/>
          <w:color w:val="auto"/>
          <w:kern w:val="2"/>
          <w:sz w:val="20"/>
          <w:szCs w:val="20"/>
        </w:rPr>
        <w:t>ci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wyjaśnień będą publikowane w publikatorach, w których było opublikowane zapytanie ofertowe.</w:t>
      </w:r>
    </w:p>
    <w:p w14:paraId="68CC9526" w14:textId="77777777" w:rsidR="00B7492A" w:rsidRPr="006355E3" w:rsidRDefault="00B7492A" w:rsidP="00B7492A">
      <w:pPr>
        <w:widowControl w:val="0"/>
        <w:numPr>
          <w:ilvl w:val="0"/>
          <w:numId w:val="20"/>
        </w:numPr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przygotowanych ofertach.</w:t>
      </w:r>
    </w:p>
    <w:p w14:paraId="0B82C2FA" w14:textId="77777777" w:rsidR="00B7492A" w:rsidRPr="006355E3" w:rsidRDefault="00B7492A" w:rsidP="00B7492A">
      <w:pPr>
        <w:widowControl w:val="0"/>
        <w:suppressAutoHyphens/>
        <w:spacing w:after="283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VI.4.5) Osoby uprawnione do kontaktów z Oferentami: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osobą uprawnioną do bezpośredniego kontaktowania się z Oferentami w sprawach merytorycznych jak i w sprawach niniejszej procedury jest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Bożena Sawicka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- Fundacja Edukacji Europejskiej, ul. Dmowskiego 2/4, 58-300 Wałbrzych, tel.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+74 664-04-02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, w dniach od poniedziałku do piątku w godzinach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od 10.00 do 14.00.</w:t>
      </w:r>
    </w:p>
    <w:p w14:paraId="327EA113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VI.4.6) Dodatkowe informacje o formalnościach związanych z przeprowadzanym zapytaniem ofertowym:</w:t>
      </w:r>
    </w:p>
    <w:p w14:paraId="3EF62ED8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zawrze umowę z wybranym Wykonawcą po upublicznieniu zawiadomienia, o którym mowa w puncie VI.4.5.1. </w:t>
      </w: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do dwóch tygodniu od ogłoszenia wyniku zapytania ofertowego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 (dopuszcza się podpisanie umowy w formie elektronicznej).</w:t>
      </w:r>
    </w:p>
    <w:p w14:paraId="056FDF40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Jeżeli wykonawca, którego oferta została wybrana uchyli się od zawarcia umowy, Zamawiający wybierze kolejną ofertę najkorzystniejszą spośród złożonych ofert, bez przeprowadzenia ponownej oceny. </w:t>
      </w:r>
    </w:p>
    <w:p w14:paraId="2FD4585E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Do przeprowadzonego postępowania nie przysługują Wykonawcy środki ochrony prawnej określone w przepisach Ustawy Prawo Zamówień Publicznych tj. odwołanie, skarga.</w:t>
      </w:r>
    </w:p>
    <w:p w14:paraId="004ED7E2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Niniejsze postępowanie prowadzone jest na zasadach opartych o Wytyczne w Zakresie Kwalifikowalności Wydatków w ramach Funduszy Europejskich dla Dolnego Śląska 2021-2027 oraz wewnętrzne uregulowania organizacyjne Zamawiającego i nie mają w tym przypadku zastosowania przepisy Ustawy PZP.</w:t>
      </w:r>
    </w:p>
    <w:p w14:paraId="6BBCA262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Times New Roman" w:cs="Times New Roman"/>
          <w:color w:val="auto"/>
          <w:spacing w:val="-1"/>
          <w:sz w:val="20"/>
          <w:szCs w:val="20"/>
        </w:rPr>
        <w:lastRenderedPageBreak/>
        <w:t>Zamawiający zastrzega sobie prawo zakończenia (zamknięcia) postępowania o udzielenie zamówienia bez dokonania wyboru którejkolwiek ze złożonych ofert, bez podania przyczyny takiego zakończenie postępowania. W przypadku skorzystania przez Zamawiającego z uprawnienia wskazanego powyżej, Oferentom nie przysługują żadne roszczenia z tytułu udziału w postępowaniu.</w:t>
      </w:r>
    </w:p>
    <w:p w14:paraId="3EAE8D07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zastrzega sobie prawo do negocjacji w zakresie ceny jednostkowej z Wykonawcą, którego oferta uzyskała największą punktację w kryteriach oceny ofert w przypadku, gdy zaoferowana w ofercie cena jednostkowa jest wyższa od ceny jednostkowej zawartej w budżecie projektu.</w:t>
      </w:r>
    </w:p>
    <w:p w14:paraId="49651E55" w14:textId="77777777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Zamawiający zastrzega sobie prawo do odstąpienia od realizacji zamówienia z uwagi na ograniczony budżet projektu.</w:t>
      </w:r>
    </w:p>
    <w:p w14:paraId="47498615" w14:textId="2F61B7EA" w:rsidR="00B7492A" w:rsidRPr="006355E3" w:rsidRDefault="00B7492A" w:rsidP="00B7492A">
      <w:pPr>
        <w:numPr>
          <w:ilvl w:val="0"/>
          <w:numId w:val="21"/>
        </w:numPr>
        <w:suppressAutoHyphens/>
        <w:spacing w:after="0" w:line="240" w:lineRule="auto"/>
        <w:ind w:left="144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Zamawiający może unieważnić postępowanie o udzielenie zamówienia, jeżeli środki pochodzące z budżetu Unii Europejskiej i lub Budżetu Państwa, które zamawiający zamierza przeznaczyć na sfinansowanie zamówienia, nie zostaną mu przyznane lub kiedy cena najlepszej oferty przekracza środki przewidziane i dostępne na zamówienie oraz w innych przypadkach określonych w przepisach.  </w:t>
      </w:r>
    </w:p>
    <w:p w14:paraId="6AA9C059" w14:textId="77777777" w:rsidR="00B7492A" w:rsidRPr="006355E3" w:rsidRDefault="00B7492A" w:rsidP="00B7492A">
      <w:pPr>
        <w:suppressAutoHyphens/>
        <w:spacing w:after="0" w:line="240" w:lineRule="auto"/>
        <w:ind w:left="0" w:firstLine="0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D4505AE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VI.5) ODRZUCENIE OFERTY</w:t>
      </w:r>
    </w:p>
    <w:p w14:paraId="2BF7948B" w14:textId="6D6BCB0F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Zamawiający</w:t>
      </w:r>
      <w:r w:rsidR="00630019"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 xml:space="preserve"> </w:t>
      </w: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odrzuci ofertę Wykonawcy w następujących przypadkach:</w:t>
      </w:r>
    </w:p>
    <w:p w14:paraId="540A520A" w14:textId="77777777" w:rsidR="00B7492A" w:rsidRPr="006355E3" w:rsidRDefault="00B7492A" w:rsidP="00B7492A">
      <w:pPr>
        <w:widowControl w:val="0"/>
        <w:numPr>
          <w:ilvl w:val="6"/>
          <w:numId w:val="22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Wykonawca nie spełni warunków udziału w postępowaniu lub nie potwierdzi spełnienia warunków udziału w postępowaniu.</w:t>
      </w:r>
    </w:p>
    <w:p w14:paraId="2AFA36A8" w14:textId="77777777" w:rsidR="00B7492A" w:rsidRPr="006355E3" w:rsidRDefault="00B7492A" w:rsidP="00B7492A">
      <w:pPr>
        <w:widowControl w:val="0"/>
        <w:numPr>
          <w:ilvl w:val="6"/>
          <w:numId w:val="22"/>
        </w:numPr>
        <w:suppressAutoHyphens/>
        <w:spacing w:after="0" w:line="240" w:lineRule="auto"/>
        <w:ind w:left="0" w:firstLine="0"/>
        <w:contextualSpacing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Treść oferty jest niezgodna z treścią ogłoszenia o zamówieniu.</w:t>
      </w:r>
    </w:p>
    <w:p w14:paraId="5C0F8985" w14:textId="1B8F8A6E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3)</w:t>
      </w: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Oferta nie została podpisana przez osobę uprawnioną i nie dołączono pełnomocnictwa</w:t>
      </w:r>
      <w:r w:rsidR="00633348"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 xml:space="preserve"> (dopuszcza się uzupełnienie pełnomocnictwa podczas oceny ofert)</w:t>
      </w: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.</w:t>
      </w:r>
    </w:p>
    <w:p w14:paraId="5B1B9FE3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4)</w:t>
      </w: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Wykonawca na wezwanie Zamawiającego we wskazanym terminie nie uzupełni dokumentów.</w:t>
      </w:r>
    </w:p>
    <w:p w14:paraId="4DD1A8DF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Cs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>5)</w:t>
      </w:r>
      <w:r w:rsidRPr="006355E3">
        <w:rPr>
          <w:rFonts w:eastAsia="Andale Sans UI" w:cs="Times New Roman"/>
          <w:bCs/>
          <w:color w:val="auto"/>
          <w:kern w:val="2"/>
          <w:sz w:val="20"/>
          <w:szCs w:val="20"/>
        </w:rPr>
        <w:tab/>
        <w:t>W innych przypadkach wskazanych w ogłoszeniu o zamówieniu.</w:t>
      </w:r>
    </w:p>
    <w:p w14:paraId="7F4851F1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</w:p>
    <w:p w14:paraId="147C9013" w14:textId="77777777" w:rsidR="00B7492A" w:rsidRPr="006355E3" w:rsidRDefault="00B7492A" w:rsidP="00B7492A">
      <w:pPr>
        <w:widowControl w:val="0"/>
        <w:suppressAutoHyphens/>
        <w:spacing w:after="0" w:line="240" w:lineRule="auto"/>
        <w:ind w:left="0" w:firstLine="0"/>
        <w:jc w:val="both"/>
        <w:rPr>
          <w:rFonts w:eastAsia="Andale Sans UI" w:cs="Times New Roman"/>
          <w:b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b/>
          <w:color w:val="auto"/>
          <w:kern w:val="2"/>
          <w:sz w:val="20"/>
          <w:szCs w:val="20"/>
        </w:rPr>
        <w:t>VI.6) ZAŁĄCZNIKI ORAZ SPOSÓB PRZYGOTOWANIA</w:t>
      </w:r>
    </w:p>
    <w:p w14:paraId="6F4845FA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1 – wzór oferty z załącznikami;</w:t>
      </w:r>
    </w:p>
    <w:p w14:paraId="42B172E5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2 i 2a – SIWZ oraz szczegółowy opis przedmiotu zamówienia;</w:t>
      </w:r>
    </w:p>
    <w:p w14:paraId="2C918466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Załącznik nr 3 – oświadczenie o braku powiązania osobowego lub kapitałowego z Zamawiającym, przez które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6355E3">
        <w:rPr>
          <w:rFonts w:eastAsia="Andale Sans UI" w:cs="Times New Roman"/>
          <w:color w:val="auto"/>
          <w:kern w:val="2"/>
          <w:sz w:val="20"/>
          <w:szCs w:val="20"/>
        </w:rPr>
        <w:br/>
        <w:t>a Wykonawcą, polegające w szczególności na:</w:t>
      </w:r>
    </w:p>
    <w:p w14:paraId="65910249" w14:textId="77777777" w:rsidR="008021DF" w:rsidRPr="006355E3" w:rsidRDefault="008021DF" w:rsidP="008021DF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Uczestniczeniu w spółce jako wspólnik spółki cywilnej lub spółki osobowej;</w:t>
      </w:r>
    </w:p>
    <w:p w14:paraId="0711A46F" w14:textId="77777777" w:rsidR="008021DF" w:rsidRPr="006355E3" w:rsidRDefault="008021DF" w:rsidP="008021DF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Posiadaniu co najmniej 10% udziałów lub akcji;</w:t>
      </w:r>
    </w:p>
    <w:p w14:paraId="4ADDD7BE" w14:textId="77777777" w:rsidR="008021DF" w:rsidRPr="006355E3" w:rsidRDefault="008021DF" w:rsidP="008021DF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 xml:space="preserve">Pełnieniu członka organu nadzorczego lub zarządzającego, prokurenta, pełnomocnika; </w:t>
      </w:r>
    </w:p>
    <w:p w14:paraId="3BAA6E50" w14:textId="77777777" w:rsidR="008021DF" w:rsidRPr="006355E3" w:rsidRDefault="008021DF" w:rsidP="008021DF">
      <w:pPr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 opieki lub kurateli;</w:t>
      </w:r>
    </w:p>
    <w:p w14:paraId="1456C82F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Załączniki nr 4 – Podpisany obowiązek informacyjny – RODO;</w:t>
      </w:r>
    </w:p>
    <w:p w14:paraId="604A73BC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5 – Podpisane oświadczenie o wypełnieniu obowiązków informacyjnych przewidzianych w art. 13 oraz 14 – RODO (jeśli dotyczy);</w:t>
      </w:r>
    </w:p>
    <w:p w14:paraId="2346EA23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6 - Oświadczenie o braku spełnienia przesłanek wykluczenia;</w:t>
      </w:r>
    </w:p>
    <w:p w14:paraId="7290F756" w14:textId="77777777" w:rsidR="008021DF" w:rsidRPr="006355E3" w:rsidRDefault="008021DF" w:rsidP="008021DF">
      <w:pPr>
        <w:numPr>
          <w:ilvl w:val="0"/>
          <w:numId w:val="13"/>
        </w:numPr>
        <w:tabs>
          <w:tab w:val="left" w:pos="0"/>
        </w:tabs>
        <w:suppressAutoHyphens/>
        <w:spacing w:after="283" w:line="240" w:lineRule="auto"/>
        <w:jc w:val="both"/>
        <w:rPr>
          <w:rFonts w:eastAsia="Andale Sans UI" w:cs="Times New Roman"/>
          <w:color w:val="auto"/>
          <w:kern w:val="2"/>
          <w:sz w:val="20"/>
          <w:szCs w:val="20"/>
        </w:rPr>
      </w:pPr>
      <w:r w:rsidRPr="006355E3">
        <w:rPr>
          <w:rFonts w:eastAsia="Andale Sans UI" w:cs="Times New Roman"/>
          <w:color w:val="auto"/>
          <w:kern w:val="2"/>
          <w:sz w:val="20"/>
          <w:szCs w:val="20"/>
        </w:rPr>
        <w:t>Załącznik nr 7 - Zaparafowany i podpisany na ostatniej stronie w odpowiednim miejscu wzór umowy.</w:t>
      </w:r>
    </w:p>
    <w:p w14:paraId="4E411712" w14:textId="77777777" w:rsidR="00020B04" w:rsidRPr="006355E3" w:rsidRDefault="00020B04" w:rsidP="00EE31D9">
      <w:pPr>
        <w:ind w:left="0" w:firstLine="0"/>
        <w:rPr>
          <w:color w:val="auto"/>
        </w:rPr>
      </w:pPr>
    </w:p>
    <w:sectPr w:rsidR="00020B04" w:rsidRPr="006355E3" w:rsidSect="00595C4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85809" w14:textId="77777777" w:rsidR="00753B4F" w:rsidRDefault="00753B4F" w:rsidP="00442525">
      <w:pPr>
        <w:spacing w:after="0" w:line="240" w:lineRule="auto"/>
      </w:pPr>
      <w:r>
        <w:separator/>
      </w:r>
    </w:p>
  </w:endnote>
  <w:endnote w:type="continuationSeparator" w:id="0">
    <w:p w14:paraId="14F0CA1B" w14:textId="77777777" w:rsidR="00753B4F" w:rsidRDefault="00753B4F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132">
          <w:rPr>
            <w:noProof/>
          </w:rPr>
          <w:t>2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 w:rsidRPr="0086784A">
      <w:rPr>
        <w:rFonts w:cs="Open Sans"/>
        <w:noProof/>
        <w:color w:val="1F3864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5" name="Obraz 5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5EF8FCFD" w:rsidR="00AD7FB7" w:rsidRDefault="001B14CA">
    <w:pPr>
      <w:pStyle w:val="Stopka"/>
    </w:pPr>
    <w:r w:rsidRPr="0086784A">
      <w:rPr>
        <w:rFonts w:cs="Open Sans"/>
        <w:noProof/>
        <w:color w:val="1F3864"/>
        <w:sz w:val="24"/>
        <w:szCs w:val="24"/>
        <w:shd w:val="clear" w:color="auto" w:fill="FFFFFF"/>
      </w:rPr>
      <w:drawing>
        <wp:inline distT="0" distB="0" distL="0" distR="0" wp14:anchorId="28EA6175" wp14:editId="4F613347">
          <wp:extent cx="6644640" cy="891540"/>
          <wp:effectExtent l="0" t="0" r="3810" b="3810"/>
          <wp:docPr id="182861085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467" w:type="dxa"/>
      <w:tblLook w:val="04A0" w:firstRow="1" w:lastRow="0" w:firstColumn="1" w:lastColumn="0" w:noHBand="0" w:noVBand="1"/>
    </w:tblPr>
    <w:tblGrid>
      <w:gridCol w:w="3686"/>
      <w:gridCol w:w="2551"/>
      <w:gridCol w:w="2552"/>
      <w:gridCol w:w="4678"/>
    </w:tblGrid>
    <w:tr w:rsidR="005C196F" w:rsidRPr="00923013" w14:paraId="034DC1AC" w14:textId="77777777" w:rsidTr="00B13D36">
      <w:tc>
        <w:tcPr>
          <w:tcW w:w="3686" w:type="dxa"/>
          <w:tcMar>
            <w:left w:w="0" w:type="dxa"/>
          </w:tcMar>
        </w:tcPr>
        <w:p w14:paraId="3528A110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</w:p>
        <w:p w14:paraId="72B7B322" w14:textId="2420364D" w:rsidR="005C196F" w:rsidRPr="0086784A" w:rsidRDefault="00B13D36" w:rsidP="00183DC8">
          <w:pPr>
            <w:pStyle w:val="Stopka"/>
            <w:spacing w:line="276" w:lineRule="auto"/>
            <w:ind w:left="0" w:firstLine="0"/>
            <w:jc w:val="both"/>
            <w:rPr>
              <w:color w:val="0D0D0D"/>
            </w:rPr>
          </w:pPr>
          <w:r>
            <w:rPr>
              <w:color w:val="0D0D0D"/>
            </w:rPr>
            <w:t>„FUNDACJA EDUKACJI EUROPEJSKIEJ”</w:t>
          </w:r>
        </w:p>
        <w:p w14:paraId="0C6014C5" w14:textId="77777777" w:rsidR="005C196F" w:rsidRPr="0086784A" w:rsidRDefault="005C196F" w:rsidP="00183DC8">
          <w:pPr>
            <w:spacing w:after="0" w:line="276" w:lineRule="auto"/>
            <w:ind w:left="0" w:firstLine="0"/>
            <w:jc w:val="both"/>
            <w:rPr>
              <w:color w:val="0D0D0D"/>
            </w:rPr>
          </w:pPr>
          <w:r w:rsidRPr="0086784A">
            <w:rPr>
              <w:color w:val="0D0D0D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</w:p>
        <w:p w14:paraId="4DF278FB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 xml:space="preserve">58 - 300 Wałbrzych </w:t>
          </w:r>
        </w:p>
        <w:p w14:paraId="6A181610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</w:p>
        <w:p w14:paraId="3724A84F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KRS 0000117278</w:t>
          </w:r>
        </w:p>
        <w:p w14:paraId="1459A9C8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NIP 886 26 65 090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</w:p>
        <w:p w14:paraId="124AD6C5" w14:textId="77777777" w:rsidR="005C196F" w:rsidRPr="0086784A" w:rsidRDefault="005C196F" w:rsidP="00183DC8">
          <w:pPr>
            <w:spacing w:after="0" w:line="276" w:lineRule="auto"/>
            <w:ind w:left="0" w:firstLine="0"/>
          </w:pPr>
          <w:hyperlink r:id="rId2" w:history="1">
            <w:r w:rsidRPr="0086784A">
              <w:rPr>
                <w:rStyle w:val="Hipercze"/>
                <w:color w:val="000000"/>
                <w:u w:val="none"/>
              </w:rPr>
              <w:t>sekretariat@fee.org.pl</w:t>
            </w:r>
          </w:hyperlink>
        </w:p>
        <w:p w14:paraId="5C1DEE59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www.fee.org.pl</w:t>
          </w:r>
        </w:p>
      </w:tc>
    </w:tr>
  </w:tbl>
  <w:p w14:paraId="1B61C086" w14:textId="52261D91" w:rsidR="00AD7FB7" w:rsidRPr="0086784A" w:rsidRDefault="00AD7FB7">
    <w:pPr>
      <w:pStyle w:val="Stopka"/>
      <w:rPr>
        <w:color w:val="0D0D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A06B" w14:textId="77777777" w:rsidR="00753B4F" w:rsidRDefault="00753B4F" w:rsidP="00442525">
      <w:pPr>
        <w:spacing w:after="0" w:line="240" w:lineRule="auto"/>
      </w:pPr>
      <w:r>
        <w:separator/>
      </w:r>
    </w:p>
  </w:footnote>
  <w:footnote w:type="continuationSeparator" w:id="0">
    <w:p w14:paraId="28BFFF7C" w14:textId="77777777" w:rsidR="00753B4F" w:rsidRDefault="00753B4F" w:rsidP="00442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0536B8A1" w:rsidR="00442525" w:rsidRDefault="00A9451A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3296" behindDoc="0" locked="0" layoutInCell="1" allowOverlap="1" wp14:anchorId="20753111" wp14:editId="4AE80D67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510540" cy="372916"/>
          <wp:effectExtent l="0" t="0" r="3810" b="8255"/>
          <wp:wrapNone/>
          <wp:docPr id="649225489" name="Obraz 6492254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37DE6E12" wp14:editId="6B317EB4">
          <wp:simplePos x="0" y="0"/>
          <wp:positionH relativeFrom="column">
            <wp:posOffset>2103120</wp:posOffset>
          </wp:positionH>
          <wp:positionV relativeFrom="paragraph">
            <wp:posOffset>-1031240</wp:posOffset>
          </wp:positionV>
          <wp:extent cx="1607820" cy="574581"/>
          <wp:effectExtent l="0" t="0" r="0" b="0"/>
          <wp:wrapNone/>
          <wp:docPr id="84221678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9200" behindDoc="0" locked="0" layoutInCell="1" allowOverlap="1" wp14:anchorId="7855B1C4" wp14:editId="0A9194F5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777240" cy="646170"/>
          <wp:effectExtent l="0" t="0" r="3810" b="1905"/>
          <wp:wrapNone/>
          <wp:docPr id="1692608626" name="Obraz 16926086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26403208" w:rsidR="00AD7FB7" w:rsidRDefault="00EC4C81" w:rsidP="00EC4C81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94080" behindDoc="0" locked="0" layoutInCell="1" allowOverlap="1" wp14:anchorId="771616B6" wp14:editId="470D90EC">
          <wp:simplePos x="0" y="0"/>
          <wp:positionH relativeFrom="margin">
            <wp:posOffset>5836921</wp:posOffset>
          </wp:positionH>
          <wp:positionV relativeFrom="paragraph">
            <wp:posOffset>-993140</wp:posOffset>
          </wp:positionV>
          <wp:extent cx="510540" cy="372916"/>
          <wp:effectExtent l="0" t="0" r="3810" b="825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692032" behindDoc="0" locked="0" layoutInCell="1" allowOverlap="1" wp14:anchorId="6575559F" wp14:editId="4A8F5670">
          <wp:simplePos x="0" y="0"/>
          <wp:positionH relativeFrom="margin">
            <wp:posOffset>-259080</wp:posOffset>
          </wp:positionH>
          <wp:positionV relativeFrom="paragraph">
            <wp:posOffset>-1206499</wp:posOffset>
          </wp:positionV>
          <wp:extent cx="777240" cy="646170"/>
          <wp:effectExtent l="0" t="0" r="3810" b="190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14CA">
      <w:rPr>
        <w:noProof/>
      </w:rPr>
      <w:drawing>
        <wp:anchor distT="0" distB="0" distL="114300" distR="114300" simplePos="0" relativeHeight="251696128" behindDoc="0" locked="0" layoutInCell="1" allowOverlap="1" wp14:anchorId="5FB2D0EF" wp14:editId="6ACC218F">
          <wp:simplePos x="0" y="0"/>
          <wp:positionH relativeFrom="column">
            <wp:posOffset>2118360</wp:posOffset>
          </wp:positionH>
          <wp:positionV relativeFrom="paragraph">
            <wp:posOffset>-1115060</wp:posOffset>
          </wp:positionV>
          <wp:extent cx="1607820" cy="574581"/>
          <wp:effectExtent l="0" t="0" r="0" b="0"/>
          <wp:wrapNone/>
          <wp:docPr id="185210434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058803A4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46C52AB"/>
    <w:multiLevelType w:val="hybridMultilevel"/>
    <w:tmpl w:val="C69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62348"/>
    <w:multiLevelType w:val="hybridMultilevel"/>
    <w:tmpl w:val="A830B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B5410"/>
    <w:multiLevelType w:val="hybridMultilevel"/>
    <w:tmpl w:val="289C4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A7BF4"/>
    <w:multiLevelType w:val="hybridMultilevel"/>
    <w:tmpl w:val="BD6A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475E1"/>
    <w:multiLevelType w:val="hybridMultilevel"/>
    <w:tmpl w:val="3E5EF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1067" w:hanging="360"/>
      </w:pPr>
    </w:lvl>
    <w:lvl w:ilvl="1" w:tplc="04150019">
      <w:start w:val="1"/>
      <w:numFmt w:val="lowerLetter"/>
      <w:lvlText w:val="%2."/>
      <w:lvlJc w:val="left"/>
      <w:pPr>
        <w:ind w:left="1787" w:hanging="360"/>
      </w:pPr>
    </w:lvl>
    <w:lvl w:ilvl="2" w:tplc="0415001B">
      <w:start w:val="1"/>
      <w:numFmt w:val="lowerRoman"/>
      <w:lvlText w:val="%3."/>
      <w:lvlJc w:val="right"/>
      <w:pPr>
        <w:ind w:left="2507" w:hanging="180"/>
      </w:pPr>
    </w:lvl>
    <w:lvl w:ilvl="3" w:tplc="0415000F">
      <w:start w:val="1"/>
      <w:numFmt w:val="decimal"/>
      <w:lvlText w:val="%4."/>
      <w:lvlJc w:val="left"/>
      <w:pPr>
        <w:ind w:left="3227" w:hanging="360"/>
      </w:pPr>
    </w:lvl>
    <w:lvl w:ilvl="4" w:tplc="04150019">
      <w:start w:val="1"/>
      <w:numFmt w:val="lowerLetter"/>
      <w:lvlText w:val="%5."/>
      <w:lvlJc w:val="left"/>
      <w:pPr>
        <w:ind w:left="3947" w:hanging="360"/>
      </w:pPr>
    </w:lvl>
    <w:lvl w:ilvl="5" w:tplc="0415001B">
      <w:start w:val="1"/>
      <w:numFmt w:val="lowerRoman"/>
      <w:lvlText w:val="%6."/>
      <w:lvlJc w:val="right"/>
      <w:pPr>
        <w:ind w:left="4667" w:hanging="180"/>
      </w:pPr>
    </w:lvl>
    <w:lvl w:ilvl="6" w:tplc="0415000F">
      <w:start w:val="1"/>
      <w:numFmt w:val="decimal"/>
      <w:lvlText w:val="%7."/>
      <w:lvlJc w:val="left"/>
      <w:pPr>
        <w:ind w:left="5387" w:hanging="360"/>
      </w:pPr>
    </w:lvl>
    <w:lvl w:ilvl="7" w:tplc="04150019">
      <w:start w:val="1"/>
      <w:numFmt w:val="lowerLetter"/>
      <w:lvlText w:val="%8."/>
      <w:lvlJc w:val="left"/>
      <w:pPr>
        <w:ind w:left="6107" w:hanging="360"/>
      </w:pPr>
    </w:lvl>
    <w:lvl w:ilvl="8" w:tplc="0415001B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22625302"/>
    <w:multiLevelType w:val="hybridMultilevel"/>
    <w:tmpl w:val="46C8B642"/>
    <w:lvl w:ilvl="0" w:tplc="2876A13E">
      <w:start w:val="5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2D6A7959"/>
    <w:multiLevelType w:val="hybridMultilevel"/>
    <w:tmpl w:val="95068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27864"/>
    <w:multiLevelType w:val="hybridMultilevel"/>
    <w:tmpl w:val="D9DEB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B44AB"/>
    <w:multiLevelType w:val="hybridMultilevel"/>
    <w:tmpl w:val="17E4F684"/>
    <w:lvl w:ilvl="0" w:tplc="CD8646AE">
      <w:start w:val="5"/>
      <w:numFmt w:val="decimal"/>
      <w:lvlText w:val="%1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4AB84893"/>
    <w:multiLevelType w:val="hybridMultilevel"/>
    <w:tmpl w:val="D6E47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53F92"/>
    <w:multiLevelType w:val="hybridMultilevel"/>
    <w:tmpl w:val="68DC1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2346C"/>
    <w:multiLevelType w:val="hybridMultilevel"/>
    <w:tmpl w:val="7C86A9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62978"/>
    <w:multiLevelType w:val="hybridMultilevel"/>
    <w:tmpl w:val="C8808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72800"/>
    <w:multiLevelType w:val="hybridMultilevel"/>
    <w:tmpl w:val="46F468E0"/>
    <w:lvl w:ilvl="0" w:tplc="DBD41664">
      <w:start w:val="1"/>
      <w:numFmt w:val="decimal"/>
      <w:lvlText w:val="%1."/>
      <w:lvlJc w:val="left"/>
      <w:pPr>
        <w:ind w:left="350" w:hanging="360"/>
      </w:pPr>
      <w:rPr>
        <w:rFonts w:ascii="Century Gothic" w:eastAsia="Andale Sans UI" w:hAnsi="Century Gothic" w:cs="Century Gothic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>
      <w:start w:val="1"/>
      <w:numFmt w:val="decimal"/>
      <w:lvlText w:val="%4."/>
      <w:lvlJc w:val="left"/>
      <w:pPr>
        <w:ind w:left="2510" w:hanging="360"/>
      </w:pPr>
    </w:lvl>
    <w:lvl w:ilvl="4" w:tplc="04150019">
      <w:start w:val="1"/>
      <w:numFmt w:val="lowerLetter"/>
      <w:lvlText w:val="%5."/>
      <w:lvlJc w:val="left"/>
      <w:pPr>
        <w:ind w:left="3230" w:hanging="360"/>
      </w:pPr>
    </w:lvl>
    <w:lvl w:ilvl="5" w:tplc="0415001B">
      <w:start w:val="1"/>
      <w:numFmt w:val="lowerRoman"/>
      <w:lvlText w:val="%6."/>
      <w:lvlJc w:val="right"/>
      <w:pPr>
        <w:ind w:left="3950" w:hanging="180"/>
      </w:pPr>
    </w:lvl>
    <w:lvl w:ilvl="6" w:tplc="0415000F">
      <w:start w:val="1"/>
      <w:numFmt w:val="decimal"/>
      <w:lvlText w:val="%7."/>
      <w:lvlJc w:val="left"/>
      <w:pPr>
        <w:ind w:left="4670" w:hanging="360"/>
      </w:pPr>
    </w:lvl>
    <w:lvl w:ilvl="7" w:tplc="04150019">
      <w:start w:val="1"/>
      <w:numFmt w:val="lowerLetter"/>
      <w:lvlText w:val="%8."/>
      <w:lvlJc w:val="left"/>
      <w:pPr>
        <w:ind w:left="5390" w:hanging="360"/>
      </w:pPr>
    </w:lvl>
    <w:lvl w:ilvl="8" w:tplc="0415001B">
      <w:start w:val="1"/>
      <w:numFmt w:val="lowerRoman"/>
      <w:lvlText w:val="%9."/>
      <w:lvlJc w:val="right"/>
      <w:pPr>
        <w:ind w:left="6110" w:hanging="180"/>
      </w:pPr>
    </w:lvl>
  </w:abstractNum>
  <w:abstractNum w:abstractNumId="18" w15:restartNumberingAfterBreak="0">
    <w:nsid w:val="5AA40BD9"/>
    <w:multiLevelType w:val="hybridMultilevel"/>
    <w:tmpl w:val="4BC8B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0D14"/>
    <w:multiLevelType w:val="multilevel"/>
    <w:tmpl w:val="1ACC67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B824860"/>
    <w:multiLevelType w:val="hybridMultilevel"/>
    <w:tmpl w:val="AD10E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6256A"/>
    <w:multiLevelType w:val="hybridMultilevel"/>
    <w:tmpl w:val="55843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46D72"/>
    <w:multiLevelType w:val="hybridMultilevel"/>
    <w:tmpl w:val="D9FC251A"/>
    <w:lvl w:ilvl="0" w:tplc="9D24FC18">
      <w:start w:val="1"/>
      <w:numFmt w:val="decimal"/>
      <w:lvlText w:val="%1."/>
      <w:lvlJc w:val="left"/>
      <w:pPr>
        <w:ind w:left="468" w:hanging="360"/>
      </w:pPr>
      <w:rPr>
        <w:rFonts w:cs="Century Gothic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3" w15:restartNumberingAfterBreak="0">
    <w:nsid w:val="6C216CD2"/>
    <w:multiLevelType w:val="hybridMultilevel"/>
    <w:tmpl w:val="513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062A2"/>
    <w:multiLevelType w:val="hybridMultilevel"/>
    <w:tmpl w:val="DECCD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11301">
    <w:abstractNumId w:val="22"/>
  </w:num>
  <w:num w:numId="2" w16cid:durableId="902257283">
    <w:abstractNumId w:val="9"/>
  </w:num>
  <w:num w:numId="3" w16cid:durableId="919215903">
    <w:abstractNumId w:val="12"/>
  </w:num>
  <w:num w:numId="4" w16cid:durableId="105934069">
    <w:abstractNumId w:val="23"/>
  </w:num>
  <w:num w:numId="5" w16cid:durableId="1164318750">
    <w:abstractNumId w:val="6"/>
  </w:num>
  <w:num w:numId="6" w16cid:durableId="1365786802">
    <w:abstractNumId w:val="5"/>
  </w:num>
  <w:num w:numId="7" w16cid:durableId="63451727">
    <w:abstractNumId w:val="13"/>
  </w:num>
  <w:num w:numId="8" w16cid:durableId="6838950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80332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77161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2261591">
    <w:abstractNumId w:val="0"/>
  </w:num>
  <w:num w:numId="12" w16cid:durableId="801196644">
    <w:abstractNumId w:val="1"/>
  </w:num>
  <w:num w:numId="13" w16cid:durableId="367150783">
    <w:abstractNumId w:val="2"/>
  </w:num>
  <w:num w:numId="14" w16cid:durableId="1401980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07844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4412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2579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49147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26275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83124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9292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84777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97036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6447678">
    <w:abstractNumId w:val="3"/>
  </w:num>
  <w:num w:numId="25" w16cid:durableId="220947252">
    <w:abstractNumId w:val="10"/>
  </w:num>
  <w:num w:numId="26" w16cid:durableId="313922359">
    <w:abstractNumId w:val="15"/>
  </w:num>
  <w:num w:numId="27" w16cid:durableId="1922519573">
    <w:abstractNumId w:val="11"/>
  </w:num>
  <w:num w:numId="28" w16cid:durableId="3786326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15C73"/>
    <w:rsid w:val="00020B04"/>
    <w:rsid w:val="00020D09"/>
    <w:rsid w:val="00026706"/>
    <w:rsid w:val="00032458"/>
    <w:rsid w:val="00042D24"/>
    <w:rsid w:val="00050D9D"/>
    <w:rsid w:val="00054C7D"/>
    <w:rsid w:val="000676B0"/>
    <w:rsid w:val="000A3D15"/>
    <w:rsid w:val="000A65A4"/>
    <w:rsid w:val="000D1650"/>
    <w:rsid w:val="00106DB6"/>
    <w:rsid w:val="001106FD"/>
    <w:rsid w:val="001337EE"/>
    <w:rsid w:val="00163CE2"/>
    <w:rsid w:val="00195E55"/>
    <w:rsid w:val="001A54D2"/>
    <w:rsid w:val="001B14CA"/>
    <w:rsid w:val="001B30C8"/>
    <w:rsid w:val="002205FD"/>
    <w:rsid w:val="00240780"/>
    <w:rsid w:val="002428CF"/>
    <w:rsid w:val="00255C4A"/>
    <w:rsid w:val="002674DE"/>
    <w:rsid w:val="00270698"/>
    <w:rsid w:val="00275D79"/>
    <w:rsid w:val="002A638A"/>
    <w:rsid w:val="002B0A5C"/>
    <w:rsid w:val="00323487"/>
    <w:rsid w:val="00331FD8"/>
    <w:rsid w:val="0035277E"/>
    <w:rsid w:val="00383B71"/>
    <w:rsid w:val="004052DC"/>
    <w:rsid w:val="004250C7"/>
    <w:rsid w:val="00442525"/>
    <w:rsid w:val="004446A4"/>
    <w:rsid w:val="00447EB5"/>
    <w:rsid w:val="004527C9"/>
    <w:rsid w:val="004800CD"/>
    <w:rsid w:val="00494C5D"/>
    <w:rsid w:val="004F4930"/>
    <w:rsid w:val="00506075"/>
    <w:rsid w:val="00507A8C"/>
    <w:rsid w:val="00525A97"/>
    <w:rsid w:val="0055261F"/>
    <w:rsid w:val="00560114"/>
    <w:rsid w:val="005613FF"/>
    <w:rsid w:val="005707E5"/>
    <w:rsid w:val="0059535C"/>
    <w:rsid w:val="00595C4D"/>
    <w:rsid w:val="00597788"/>
    <w:rsid w:val="005A5138"/>
    <w:rsid w:val="005B77FD"/>
    <w:rsid w:val="005C196F"/>
    <w:rsid w:val="005C2132"/>
    <w:rsid w:val="005E667A"/>
    <w:rsid w:val="005F71D9"/>
    <w:rsid w:val="006019BE"/>
    <w:rsid w:val="00603BF9"/>
    <w:rsid w:val="00620EDF"/>
    <w:rsid w:val="00630019"/>
    <w:rsid w:val="00633348"/>
    <w:rsid w:val="006355E3"/>
    <w:rsid w:val="006869A1"/>
    <w:rsid w:val="00695A87"/>
    <w:rsid w:val="006D69D5"/>
    <w:rsid w:val="006D767C"/>
    <w:rsid w:val="006E5D9F"/>
    <w:rsid w:val="006E6731"/>
    <w:rsid w:val="0073516C"/>
    <w:rsid w:val="007472A5"/>
    <w:rsid w:val="00753B4F"/>
    <w:rsid w:val="00780EBA"/>
    <w:rsid w:val="00795BF3"/>
    <w:rsid w:val="007B5E7C"/>
    <w:rsid w:val="007C5327"/>
    <w:rsid w:val="007F608D"/>
    <w:rsid w:val="008021DF"/>
    <w:rsid w:val="00803B87"/>
    <w:rsid w:val="008123F0"/>
    <w:rsid w:val="008441AC"/>
    <w:rsid w:val="008531D2"/>
    <w:rsid w:val="0086784A"/>
    <w:rsid w:val="00882EF0"/>
    <w:rsid w:val="008D0805"/>
    <w:rsid w:val="008E072F"/>
    <w:rsid w:val="008E2F1E"/>
    <w:rsid w:val="008F6D2A"/>
    <w:rsid w:val="008F7D65"/>
    <w:rsid w:val="00900DA8"/>
    <w:rsid w:val="00910186"/>
    <w:rsid w:val="00923013"/>
    <w:rsid w:val="00927931"/>
    <w:rsid w:val="0093775E"/>
    <w:rsid w:val="0098794E"/>
    <w:rsid w:val="009A2890"/>
    <w:rsid w:val="009A6E03"/>
    <w:rsid w:val="009D398C"/>
    <w:rsid w:val="009D6D3C"/>
    <w:rsid w:val="009E55E0"/>
    <w:rsid w:val="00A00520"/>
    <w:rsid w:val="00A21025"/>
    <w:rsid w:val="00A277BD"/>
    <w:rsid w:val="00A9451A"/>
    <w:rsid w:val="00AC2D44"/>
    <w:rsid w:val="00AD7796"/>
    <w:rsid w:val="00AD7FB7"/>
    <w:rsid w:val="00AE0127"/>
    <w:rsid w:val="00AF770B"/>
    <w:rsid w:val="00B13D36"/>
    <w:rsid w:val="00B213B3"/>
    <w:rsid w:val="00B251EA"/>
    <w:rsid w:val="00B4747D"/>
    <w:rsid w:val="00B7492A"/>
    <w:rsid w:val="00BA5D81"/>
    <w:rsid w:val="00BC73A2"/>
    <w:rsid w:val="00C41DAD"/>
    <w:rsid w:val="00C56A4C"/>
    <w:rsid w:val="00C97AE3"/>
    <w:rsid w:val="00CA2EBE"/>
    <w:rsid w:val="00CF0017"/>
    <w:rsid w:val="00CF04B2"/>
    <w:rsid w:val="00CF4DA2"/>
    <w:rsid w:val="00D11852"/>
    <w:rsid w:val="00D15689"/>
    <w:rsid w:val="00D24A85"/>
    <w:rsid w:val="00D254B5"/>
    <w:rsid w:val="00D46662"/>
    <w:rsid w:val="00D469AB"/>
    <w:rsid w:val="00D97053"/>
    <w:rsid w:val="00D97986"/>
    <w:rsid w:val="00DD528F"/>
    <w:rsid w:val="00DE0930"/>
    <w:rsid w:val="00DE325F"/>
    <w:rsid w:val="00E30E9A"/>
    <w:rsid w:val="00E47558"/>
    <w:rsid w:val="00E60608"/>
    <w:rsid w:val="00EA6832"/>
    <w:rsid w:val="00EB3C39"/>
    <w:rsid w:val="00EC23F7"/>
    <w:rsid w:val="00EC4C81"/>
    <w:rsid w:val="00ED6776"/>
    <w:rsid w:val="00EE31D9"/>
    <w:rsid w:val="00EF1E5B"/>
    <w:rsid w:val="00EF5AA1"/>
    <w:rsid w:val="00F066DC"/>
    <w:rsid w:val="00F10060"/>
    <w:rsid w:val="00F257C3"/>
    <w:rsid w:val="00F33E67"/>
    <w:rsid w:val="00F42B82"/>
    <w:rsid w:val="00F42F59"/>
    <w:rsid w:val="00F51A14"/>
    <w:rsid w:val="00F82907"/>
    <w:rsid w:val="00F85176"/>
    <w:rsid w:val="00F96402"/>
    <w:rsid w:val="00FA155A"/>
    <w:rsid w:val="00FA66D3"/>
    <w:rsid w:val="00FB129B"/>
    <w:rsid w:val="00FB48C6"/>
    <w:rsid w:val="00FD619F"/>
    <w:rsid w:val="00FF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14C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20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7492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2D3C-4D5E-4106-97FC-20254964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3059</Words>
  <Characters>18359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7</cp:revision>
  <cp:lastPrinted>2025-06-29T07:13:00Z</cp:lastPrinted>
  <dcterms:created xsi:type="dcterms:W3CDTF">2025-06-29T06:21:00Z</dcterms:created>
  <dcterms:modified xsi:type="dcterms:W3CDTF">2025-06-29T07:25:00Z</dcterms:modified>
</cp:coreProperties>
</file>