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000001" w14:textId="77777777" w:rsidR="00C97CD1" w:rsidRDefault="00000000">
      <w:pPr>
        <w:spacing w:before="71"/>
        <w:ind w:left="15" w:right="1"/>
        <w:jc w:val="center"/>
        <w:rPr>
          <w:rFonts w:ascii="Arial" w:eastAsia="Arial" w:hAnsi="Arial" w:cs="Arial"/>
          <w:b/>
          <w:sz w:val="21"/>
          <w:szCs w:val="21"/>
        </w:rPr>
      </w:pPr>
      <w:r>
        <w:rPr>
          <w:rFonts w:ascii="Arial" w:eastAsia="Arial" w:hAnsi="Arial" w:cs="Arial"/>
          <w:b/>
          <w:sz w:val="21"/>
          <w:szCs w:val="21"/>
        </w:rPr>
        <w:t>ZAŁĄCZNIK NR 1</w:t>
      </w:r>
    </w:p>
    <w:p w14:paraId="00000002" w14:textId="77777777" w:rsidR="00C97CD1" w:rsidRDefault="00000000">
      <w:pPr>
        <w:spacing w:before="1"/>
        <w:ind w:left="15" w:right="2"/>
        <w:jc w:val="center"/>
        <w:rPr>
          <w:rFonts w:ascii="Liberation Sans" w:eastAsia="Liberation Sans" w:hAnsi="Liberation Sans" w:cs="Liberation Sans"/>
          <w:sz w:val="23"/>
          <w:szCs w:val="23"/>
        </w:rPr>
      </w:pPr>
      <w:r>
        <w:rPr>
          <w:rFonts w:ascii="Liberation Sans" w:eastAsia="Liberation Sans" w:hAnsi="Liberation Sans" w:cs="Liberation Sans"/>
          <w:sz w:val="23"/>
          <w:szCs w:val="23"/>
        </w:rPr>
        <w:t>SPECYFIKACJA TECHNICZNA</w:t>
      </w:r>
    </w:p>
    <w:p w14:paraId="00000003" w14:textId="77777777" w:rsidR="00C97CD1" w:rsidRDefault="00C97CD1">
      <w:pPr>
        <w:spacing w:before="1"/>
        <w:ind w:left="15" w:right="2"/>
        <w:jc w:val="center"/>
        <w:rPr>
          <w:rFonts w:ascii="Liberation Sans" w:eastAsia="Liberation Sans" w:hAnsi="Liberation Sans" w:cs="Liberation Sans"/>
          <w:sz w:val="23"/>
          <w:szCs w:val="23"/>
        </w:rPr>
      </w:pPr>
    </w:p>
    <w:p w14:paraId="00000004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ind w:left="183" w:right="3"/>
        <w:jc w:val="center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NAZWA ZADANIA:</w:t>
      </w:r>
    </w:p>
    <w:p w14:paraId="00000005" w14:textId="77777777" w:rsidR="00C97CD1" w:rsidRDefault="00C97CD1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4"/>
          <w:szCs w:val="24"/>
        </w:rPr>
      </w:pPr>
    </w:p>
    <w:p w14:paraId="00000006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ind w:left="183" w:right="2"/>
        <w:jc w:val="center"/>
        <w:rPr>
          <w:rFonts w:ascii="Calibri" w:eastAsia="Calibri" w:hAnsi="Calibri" w:cs="Calibri"/>
          <w:color w:val="000000"/>
          <w:sz w:val="24"/>
          <w:szCs w:val="24"/>
          <w:highlight w:val="white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Wykonanie rozbudo</w:t>
      </w:r>
      <w:r>
        <w:rPr>
          <w:sz w:val="24"/>
          <w:szCs w:val="24"/>
        </w:rPr>
        <w:t>wy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instalacji fotowoltaicznej do mocy </w:t>
      </w:r>
      <w:r>
        <w:rPr>
          <w:sz w:val="24"/>
          <w:szCs w:val="24"/>
          <w:highlight w:val="white"/>
        </w:rPr>
        <w:t>100</w:t>
      </w:r>
      <w:r>
        <w:rPr>
          <w:rFonts w:ascii="Calibri" w:eastAsia="Calibri" w:hAnsi="Calibri" w:cs="Calibri"/>
          <w:color w:val="000000"/>
          <w:sz w:val="24"/>
          <w:szCs w:val="24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4"/>
          <w:szCs w:val="24"/>
          <w:highlight w:val="white"/>
        </w:rPr>
        <w:t>kWp</w:t>
      </w:r>
      <w:proofErr w:type="spellEnd"/>
    </w:p>
    <w:p w14:paraId="00000007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ind w:left="183" w:right="1"/>
        <w:jc w:val="center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na dachach obiektów przedsiębiorstwa </w:t>
      </w:r>
      <w:r>
        <w:rPr>
          <w:sz w:val="24"/>
          <w:szCs w:val="24"/>
        </w:rPr>
        <w:t>Pawbol S.A.</w:t>
      </w:r>
    </w:p>
    <w:p w14:paraId="00000008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spacing w:before="293"/>
        <w:ind w:left="183"/>
        <w:jc w:val="center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ul. </w:t>
      </w:r>
      <w:r>
        <w:rPr>
          <w:sz w:val="24"/>
          <w:szCs w:val="24"/>
        </w:rPr>
        <w:t>Grabskiego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29,</w:t>
      </w:r>
    </w:p>
    <w:p w14:paraId="00000009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ind w:left="183"/>
        <w:jc w:val="center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sz w:val="24"/>
          <w:szCs w:val="24"/>
        </w:rPr>
        <w:t>32-640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sz w:val="24"/>
          <w:szCs w:val="24"/>
        </w:rPr>
        <w:t>Zator</w:t>
      </w:r>
    </w:p>
    <w:p w14:paraId="0000000A" w14:textId="77777777" w:rsidR="00C97CD1" w:rsidRDefault="00C97CD1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4"/>
          <w:szCs w:val="24"/>
        </w:rPr>
      </w:pPr>
    </w:p>
    <w:p w14:paraId="0000000B" w14:textId="77777777" w:rsidR="00C97CD1" w:rsidRDefault="00C97CD1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4"/>
          <w:szCs w:val="24"/>
        </w:rPr>
      </w:pPr>
    </w:p>
    <w:p w14:paraId="0000000C" w14:textId="77777777" w:rsidR="00C97CD1" w:rsidRDefault="00C97CD1">
      <w:pPr>
        <w:pBdr>
          <w:top w:val="nil"/>
          <w:left w:val="nil"/>
          <w:bottom w:val="nil"/>
          <w:right w:val="nil"/>
          <w:between w:val="nil"/>
        </w:pBdr>
        <w:spacing w:before="1"/>
        <w:rPr>
          <w:rFonts w:ascii="Calibri" w:eastAsia="Calibri" w:hAnsi="Calibri" w:cs="Calibri"/>
          <w:color w:val="000000"/>
          <w:sz w:val="24"/>
          <w:szCs w:val="24"/>
        </w:rPr>
      </w:pPr>
    </w:p>
    <w:p w14:paraId="0000000D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ind w:left="183" w:right="3"/>
        <w:jc w:val="center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Kod CPV:</w:t>
      </w:r>
    </w:p>
    <w:p w14:paraId="0000000E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ind w:left="183" w:right="9"/>
        <w:jc w:val="center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09332000-5: Instalacje słoneczne</w:t>
      </w:r>
    </w:p>
    <w:p w14:paraId="0000000F" w14:textId="77777777" w:rsidR="00C97CD1" w:rsidRDefault="00C97CD1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4"/>
          <w:szCs w:val="24"/>
        </w:rPr>
      </w:pPr>
    </w:p>
    <w:p w14:paraId="00000012" w14:textId="77777777" w:rsidR="00C97CD1" w:rsidRDefault="00000000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0"/>
        </w:tabs>
        <w:spacing w:before="292"/>
        <w:ind w:left="850" w:hanging="458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Przedmiot Specyfikacji Technicznej</w:t>
      </w:r>
    </w:p>
    <w:p w14:paraId="00000013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ind w:left="392" w:right="211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Przedmiotem niniejszej specyfikacji technicznej (ST) są wymagania ogólne, dotyczące: zaprojektowania, wykonania oraz przeprowadzenia niezbędnych odbiorów technicznych dla realizacji rozbudow</w:t>
      </w:r>
      <w:r>
        <w:rPr>
          <w:sz w:val="24"/>
          <w:szCs w:val="24"/>
        </w:rPr>
        <w:t>y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instalacji fotowoltaicznej </w:t>
      </w:r>
      <w:r>
        <w:rPr>
          <w:sz w:val="24"/>
          <w:szCs w:val="24"/>
        </w:rPr>
        <w:t>do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mocy </w:t>
      </w:r>
      <w:r>
        <w:rPr>
          <w:sz w:val="24"/>
          <w:szCs w:val="24"/>
          <w:highlight w:val="white"/>
        </w:rPr>
        <w:t>100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4"/>
          <w:szCs w:val="24"/>
        </w:rPr>
        <w:t>kWp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 xml:space="preserve"> na dachach obiektów przedsiębiorstwa </w:t>
      </w:r>
      <w:r>
        <w:rPr>
          <w:sz w:val="24"/>
          <w:szCs w:val="24"/>
        </w:rPr>
        <w:t>Pawbol S.A</w:t>
      </w:r>
      <w:r>
        <w:rPr>
          <w:rFonts w:ascii="Calibri" w:eastAsia="Calibri" w:hAnsi="Calibri" w:cs="Calibri"/>
          <w:color w:val="000000"/>
          <w:sz w:val="24"/>
          <w:szCs w:val="24"/>
        </w:rPr>
        <w:t>.</w:t>
      </w:r>
    </w:p>
    <w:p w14:paraId="00000014" w14:textId="77777777" w:rsidR="00C97CD1" w:rsidRDefault="00C97CD1">
      <w:pPr>
        <w:pBdr>
          <w:top w:val="nil"/>
          <w:left w:val="nil"/>
          <w:bottom w:val="nil"/>
          <w:right w:val="nil"/>
          <w:between w:val="nil"/>
        </w:pBdr>
        <w:spacing w:before="2"/>
        <w:rPr>
          <w:rFonts w:ascii="Calibri" w:eastAsia="Calibri" w:hAnsi="Calibri" w:cs="Calibri"/>
          <w:color w:val="000000"/>
          <w:sz w:val="24"/>
          <w:szCs w:val="24"/>
        </w:rPr>
      </w:pPr>
    </w:p>
    <w:p w14:paraId="00000015" w14:textId="77777777" w:rsidR="00C97CD1" w:rsidRDefault="00000000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0"/>
        </w:tabs>
        <w:ind w:left="850" w:hanging="458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Zakres stosowania Specyfikacji Technicznej</w:t>
      </w:r>
    </w:p>
    <w:p w14:paraId="00000016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ind w:left="392" w:right="219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Specyfikacja  techniczna  stanowi  podstawę  jako  dokument  kontraktowy  przy  zlecaniu i realizacji robót wymienionych w pkt. 1.1.</w:t>
      </w:r>
    </w:p>
    <w:p w14:paraId="00000017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ind w:left="392" w:right="211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Odstępstwa od wymagań podanych w niniejszej ST mogą mieć miejsce tylko w przypadkach prostych robót o niewielkim znaczeniu, dla których istnieje pewność, że podstawowe wymagania będą spełnione przy zastosowaniu metod wykonania wynikających z doświadczenia oraz uznanych reguł i zasad sztuki budowlanej.</w:t>
      </w:r>
    </w:p>
    <w:p w14:paraId="00000018" w14:textId="77777777" w:rsidR="00C97CD1" w:rsidRDefault="00000000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before="291"/>
        <w:ind w:left="851" w:hanging="459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Zakres robót objętych Specyfikacją Techniczną</w:t>
      </w:r>
    </w:p>
    <w:p w14:paraId="00000019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ind w:left="392" w:right="209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Roboty, których dotyczy specyfikacja, obejmują wszystkie czynności umożliwiające i mające na celu wykonanie instalacji paneli fotowoltaicznych na ww. obiekcie. Zakres robót obejmuje:</w:t>
      </w:r>
    </w:p>
    <w:p w14:paraId="0000001A" w14:textId="77777777" w:rsidR="00C97CD1" w:rsidRDefault="00000000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959"/>
        </w:tabs>
        <w:spacing w:before="2" w:line="237" w:lineRule="auto"/>
        <w:ind w:right="211" w:hanging="360"/>
        <w:jc w:val="both"/>
        <w:rPr>
          <w:rFonts w:ascii="Calibri" w:eastAsia="Calibri" w:hAnsi="Calibri" w:cs="Calibri"/>
          <w:color w:val="000000"/>
          <w:sz w:val="24"/>
          <w:szCs w:val="24"/>
          <w:highlight w:val="white"/>
        </w:rPr>
      </w:pPr>
      <w:r>
        <w:rPr>
          <w:rFonts w:ascii="Calibri" w:eastAsia="Calibri" w:hAnsi="Calibri" w:cs="Calibri"/>
          <w:color w:val="000000"/>
          <w:sz w:val="24"/>
          <w:szCs w:val="24"/>
          <w:highlight w:val="white"/>
        </w:rPr>
        <w:t>wykonanie niezbędnych ekspertyz konstrukcyjnych w celu potwierdzenia nośności dachów z uwzględnieniem obciążenia śniegiem oraz wpływu wiatru, na których mają być zainstalowane panele,</w:t>
      </w:r>
    </w:p>
    <w:p w14:paraId="0000001B" w14:textId="77777777" w:rsidR="00C97CD1" w:rsidRDefault="00000000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959"/>
        </w:tabs>
        <w:spacing w:before="5" w:line="232" w:lineRule="auto"/>
        <w:ind w:right="216" w:hanging="360"/>
        <w:jc w:val="both"/>
        <w:rPr>
          <w:rFonts w:ascii="Calibri" w:eastAsia="Calibri" w:hAnsi="Calibri" w:cs="Calibri"/>
          <w:color w:val="000000"/>
          <w:sz w:val="24"/>
          <w:szCs w:val="24"/>
        </w:rPr>
        <w:sectPr w:rsidR="00C97CD1">
          <w:pgSz w:w="11910" w:h="16840"/>
          <w:pgMar w:top="1740" w:right="920" w:bottom="280" w:left="740" w:header="281" w:footer="0" w:gutter="0"/>
          <w:pgNumType w:start="1"/>
          <w:cols w:space="708"/>
        </w:sectPr>
      </w:pPr>
      <w:r>
        <w:rPr>
          <w:rFonts w:ascii="Calibri" w:eastAsia="Calibri" w:hAnsi="Calibri" w:cs="Calibri"/>
          <w:color w:val="000000"/>
          <w:sz w:val="24"/>
          <w:szCs w:val="24"/>
        </w:rPr>
        <w:t>wykonanie niezbędnych ekspertyz konstrukcyjnych w celu zabezpieczenia nowej instalacji przed tzw. efektem żagla,</w:t>
      </w:r>
    </w:p>
    <w:p w14:paraId="0000001C" w14:textId="77777777" w:rsidR="00C97CD1" w:rsidRPr="00381FF9" w:rsidRDefault="00000000" w:rsidP="00381FF9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959"/>
        </w:tabs>
        <w:spacing w:before="287" w:line="232" w:lineRule="auto"/>
        <w:ind w:right="217" w:hanging="360"/>
        <w:jc w:val="both"/>
        <w:rPr>
          <w:rFonts w:ascii="Calibri" w:eastAsia="Calibri" w:hAnsi="Calibri" w:cs="Calibri"/>
          <w:color w:val="000000"/>
          <w:sz w:val="24"/>
          <w:szCs w:val="24"/>
          <w:highlight w:val="white"/>
        </w:rPr>
      </w:pPr>
      <w:r w:rsidRPr="00381FF9">
        <w:rPr>
          <w:rFonts w:ascii="Calibri" w:eastAsia="Calibri" w:hAnsi="Calibri" w:cs="Calibri"/>
          <w:color w:val="000000"/>
          <w:sz w:val="24"/>
          <w:szCs w:val="24"/>
          <w:highlight w:val="white"/>
        </w:rPr>
        <w:lastRenderedPageBreak/>
        <w:t>sprawdzenie istniejącej instalacji odgromowej pod kątem ewentualnej rozbudowy zmian oraz zastosowania dedykowanych rozwiązań z uwzględnieniem ich w projekcie budowlanym,</w:t>
      </w:r>
    </w:p>
    <w:p w14:paraId="0000001D" w14:textId="77777777" w:rsidR="00C97CD1" w:rsidRPr="00381FF9" w:rsidRDefault="00000000" w:rsidP="00381FF9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958"/>
        </w:tabs>
        <w:spacing w:line="293" w:lineRule="auto"/>
        <w:ind w:left="958" w:hanging="359"/>
        <w:jc w:val="both"/>
        <w:rPr>
          <w:rFonts w:ascii="Calibri" w:eastAsia="Calibri" w:hAnsi="Calibri" w:cs="Calibri"/>
          <w:color w:val="000000"/>
          <w:sz w:val="24"/>
          <w:szCs w:val="24"/>
          <w:highlight w:val="white"/>
        </w:rPr>
      </w:pPr>
      <w:r w:rsidRPr="00381FF9">
        <w:rPr>
          <w:rFonts w:ascii="Calibri" w:eastAsia="Calibri" w:hAnsi="Calibri" w:cs="Calibri"/>
          <w:color w:val="000000"/>
          <w:sz w:val="24"/>
          <w:szCs w:val="24"/>
          <w:highlight w:val="white"/>
        </w:rPr>
        <w:t>wykonanie projektu technicznego niezbędnego do realizacji wyżej wymienionego zadania,</w:t>
      </w:r>
    </w:p>
    <w:p w14:paraId="0000001E" w14:textId="77777777" w:rsidR="00C97CD1" w:rsidRDefault="00000000" w:rsidP="00381FF9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958"/>
        </w:tabs>
        <w:spacing w:line="293" w:lineRule="auto"/>
        <w:ind w:left="958" w:hanging="359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381FF9">
        <w:rPr>
          <w:rFonts w:ascii="Calibri" w:eastAsia="Calibri" w:hAnsi="Calibri" w:cs="Calibri"/>
          <w:color w:val="000000"/>
          <w:sz w:val="24"/>
          <w:szCs w:val="24"/>
          <w:highlight w:val="white"/>
        </w:rPr>
        <w:t>montaż konstrukcji pod panele PV</w:t>
      </w:r>
      <w:r>
        <w:rPr>
          <w:rFonts w:ascii="Calibri" w:eastAsia="Calibri" w:hAnsi="Calibri" w:cs="Calibri"/>
          <w:color w:val="000000"/>
          <w:sz w:val="24"/>
          <w:szCs w:val="24"/>
        </w:rPr>
        <w:t>,</w:t>
      </w:r>
    </w:p>
    <w:p w14:paraId="0000001F" w14:textId="77777777" w:rsidR="00C97CD1" w:rsidRDefault="00000000" w:rsidP="00381FF9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958"/>
        </w:tabs>
        <w:spacing w:line="293" w:lineRule="auto"/>
        <w:ind w:left="958" w:hanging="359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montaż paneli PV na konstrukcji,</w:t>
      </w:r>
    </w:p>
    <w:p w14:paraId="00000020" w14:textId="77777777" w:rsidR="00C97CD1" w:rsidRDefault="00000000" w:rsidP="00381FF9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958"/>
        </w:tabs>
        <w:spacing w:line="293" w:lineRule="auto"/>
        <w:ind w:left="958" w:hanging="359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ułożenie tras kablowych i kabli od paneli PV w metalowych korytach kablowych,</w:t>
      </w:r>
    </w:p>
    <w:p w14:paraId="00000021" w14:textId="77777777" w:rsidR="00C97CD1" w:rsidRDefault="00000000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958"/>
        </w:tabs>
        <w:spacing w:line="294" w:lineRule="auto"/>
        <w:ind w:left="958" w:hanging="359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dostosowanie rozdzielnicy elektrycznej w budynku transformatora,</w:t>
      </w:r>
    </w:p>
    <w:p w14:paraId="00000022" w14:textId="77777777" w:rsidR="00C97CD1" w:rsidRDefault="00000000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958"/>
        </w:tabs>
        <w:spacing w:line="294" w:lineRule="auto"/>
        <w:ind w:left="958" w:hanging="359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sprawdzenie oraz ewentualne dostosowanie układu pomiarowego,</w:t>
      </w:r>
    </w:p>
    <w:p w14:paraId="00000023" w14:textId="77777777" w:rsidR="00C97CD1" w:rsidRDefault="00000000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958"/>
        </w:tabs>
        <w:spacing w:line="293" w:lineRule="auto"/>
        <w:ind w:left="958" w:hanging="359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montaż rozdzielnic PV,</w:t>
      </w:r>
    </w:p>
    <w:p w14:paraId="00000024" w14:textId="77777777" w:rsidR="00C97CD1" w:rsidRDefault="00000000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958"/>
        </w:tabs>
        <w:spacing w:line="293" w:lineRule="auto"/>
        <w:ind w:left="958" w:hanging="359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montaż układu automatyki zgodnie z wydanymi warunkami przez Tauron Dystrybucja S.A.,</w:t>
      </w:r>
    </w:p>
    <w:p w14:paraId="00000025" w14:textId="77777777" w:rsidR="00C97CD1" w:rsidRDefault="00000000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958"/>
        </w:tabs>
        <w:spacing w:line="293" w:lineRule="auto"/>
        <w:ind w:left="958" w:hanging="359"/>
        <w:rPr>
          <w:sz w:val="24"/>
          <w:szCs w:val="24"/>
        </w:rPr>
      </w:pPr>
      <w:r>
        <w:rPr>
          <w:sz w:val="24"/>
          <w:szCs w:val="24"/>
        </w:rPr>
        <w:t>wymianę przekładników prądowych (jeśli będzie wymagane),</w:t>
      </w:r>
    </w:p>
    <w:p w14:paraId="00000026" w14:textId="1AC7872F" w:rsidR="00C97CD1" w:rsidRDefault="00000000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959"/>
          <w:tab w:val="left" w:pos="2588"/>
          <w:tab w:val="left" w:pos="3655"/>
          <w:tab w:val="left" w:pos="4013"/>
          <w:tab w:val="left" w:pos="5361"/>
          <w:tab w:val="left" w:pos="6609"/>
          <w:tab w:val="left" w:pos="8483"/>
        </w:tabs>
        <w:spacing w:before="1" w:line="235" w:lineRule="auto"/>
        <w:ind w:right="213" w:hanging="360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zintegrowanie</w:t>
      </w:r>
      <w:r>
        <w:rPr>
          <w:rFonts w:ascii="Calibri" w:eastAsia="Calibri" w:hAnsi="Calibri" w:cs="Calibri"/>
          <w:color w:val="000000"/>
          <w:sz w:val="24"/>
          <w:szCs w:val="24"/>
        </w:rPr>
        <w:tab/>
        <w:t>systemu</w:t>
      </w:r>
      <w:r>
        <w:rPr>
          <w:rFonts w:ascii="Calibri" w:eastAsia="Calibri" w:hAnsi="Calibri" w:cs="Calibri"/>
          <w:color w:val="000000"/>
          <w:sz w:val="24"/>
          <w:szCs w:val="24"/>
        </w:rPr>
        <w:tab/>
        <w:t>z</w:t>
      </w:r>
      <w:r>
        <w:rPr>
          <w:rFonts w:ascii="Calibri" w:eastAsia="Calibri" w:hAnsi="Calibri" w:cs="Calibri"/>
          <w:color w:val="000000"/>
          <w:sz w:val="24"/>
          <w:szCs w:val="24"/>
        </w:rPr>
        <w:tab/>
        <w:t>istniejącym</w:t>
      </w:r>
      <w:r>
        <w:rPr>
          <w:rFonts w:ascii="Calibri" w:eastAsia="Calibri" w:hAnsi="Calibri" w:cs="Calibri"/>
          <w:color w:val="000000"/>
          <w:sz w:val="24"/>
          <w:szCs w:val="24"/>
        </w:rPr>
        <w:tab/>
        <w:t>systemem</w:t>
      </w:r>
      <w:r>
        <w:rPr>
          <w:rFonts w:ascii="Calibri" w:eastAsia="Calibri" w:hAnsi="Calibri" w:cs="Calibri"/>
          <w:color w:val="000000"/>
          <w:sz w:val="24"/>
          <w:szCs w:val="24"/>
        </w:rPr>
        <w:tab/>
        <w:t>fotowoltaiczny</w:t>
      </w:r>
      <w:r w:rsidR="00381FF9"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color w:val="000000"/>
          <w:sz w:val="24"/>
          <w:szCs w:val="24"/>
        </w:rPr>
        <w:t>zainstalowanym u Zamawiającego oraz siecią energetyczną,</w:t>
      </w:r>
    </w:p>
    <w:p w14:paraId="00000027" w14:textId="77777777" w:rsidR="00C97CD1" w:rsidRDefault="00000000" w:rsidP="00381FF9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958"/>
        </w:tabs>
        <w:spacing w:line="297" w:lineRule="auto"/>
        <w:ind w:left="958" w:hanging="359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wykonanie prób instalacji oraz sprawdzenie prawidłowego działania aparatury,</w:t>
      </w:r>
    </w:p>
    <w:p w14:paraId="00000028" w14:textId="77777777" w:rsidR="00C97CD1" w:rsidRDefault="00000000" w:rsidP="00381FF9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958"/>
        </w:tabs>
        <w:spacing w:line="293" w:lineRule="auto"/>
        <w:ind w:left="958" w:hanging="359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uruchomienie technologiczne układu i regulacje,</w:t>
      </w:r>
    </w:p>
    <w:p w14:paraId="00000029" w14:textId="77777777" w:rsidR="00C97CD1" w:rsidRDefault="00000000" w:rsidP="00381FF9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958"/>
        </w:tabs>
        <w:spacing w:line="297" w:lineRule="auto"/>
        <w:ind w:left="958" w:hanging="359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szkolenie z obsługi.</w:t>
      </w:r>
    </w:p>
    <w:p w14:paraId="0000002A" w14:textId="77777777" w:rsidR="00C97CD1" w:rsidRDefault="00000000" w:rsidP="00381FF9">
      <w:pPr>
        <w:pBdr>
          <w:top w:val="nil"/>
          <w:left w:val="nil"/>
          <w:bottom w:val="nil"/>
          <w:right w:val="nil"/>
          <w:between w:val="nil"/>
        </w:pBdr>
        <w:ind w:left="392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Zakres prac obejmuje również:</w:t>
      </w:r>
    </w:p>
    <w:p w14:paraId="0000002B" w14:textId="02219481" w:rsidR="00C97CD1" w:rsidRDefault="00000000" w:rsidP="00381FF9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959"/>
        </w:tabs>
        <w:ind w:right="216" w:hanging="360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wykonanie przepustów w miejscach przejść tras kablowych przez ściany, dach lub inne przeszkody, wraz z niezbędnym ich zabezpieczeniem zgodnie z aktualnymi przepisami p</w:t>
      </w:r>
      <w:r w:rsidR="00381FF9">
        <w:rPr>
          <w:rFonts w:ascii="Calibri" w:eastAsia="Calibri" w:hAnsi="Calibri" w:cs="Calibri"/>
          <w:color w:val="000000"/>
          <w:sz w:val="24"/>
          <w:szCs w:val="24"/>
        </w:rPr>
        <w:t>.</w:t>
      </w:r>
      <w:r>
        <w:rPr>
          <w:rFonts w:ascii="Calibri" w:eastAsia="Calibri" w:hAnsi="Calibri" w:cs="Calibri"/>
          <w:color w:val="000000"/>
          <w:sz w:val="24"/>
          <w:szCs w:val="24"/>
        </w:rPr>
        <w:t>poż, oraz sztuką budowlaną,,</w:t>
      </w:r>
    </w:p>
    <w:p w14:paraId="0000002C" w14:textId="3C902D2B" w:rsidR="00C97CD1" w:rsidRDefault="00000000" w:rsidP="00381FF9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959"/>
        </w:tabs>
        <w:ind w:right="217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pojedyncze pola (</w:t>
      </w:r>
      <w:r w:rsidR="00381FF9">
        <w:rPr>
          <w:rFonts w:ascii="Calibri" w:eastAsia="Calibri" w:hAnsi="Calibri" w:cs="Calibri"/>
          <w:color w:val="000000"/>
          <w:sz w:val="24"/>
          <w:szCs w:val="24"/>
        </w:rPr>
        <w:t>s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kupiska paneli) nie mogą przekraczać 50kWp. Minimalna odległość </w:t>
      </w:r>
      <w:r>
        <w:rPr>
          <w:sz w:val="24"/>
          <w:szCs w:val="24"/>
        </w:rPr>
        <w:t>między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pojedynczymi polami musi wynosić od 2 do 2,5m,</w:t>
      </w:r>
    </w:p>
    <w:p w14:paraId="0000002D" w14:textId="77777777" w:rsidR="00C97CD1" w:rsidRDefault="00000000" w:rsidP="00381FF9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959"/>
        </w:tabs>
        <w:ind w:hanging="355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należy uwzględnić montaż płyt ogniochronnych pod falownikami jeżeli będzie to wymagane,</w:t>
      </w:r>
    </w:p>
    <w:p w14:paraId="0000002E" w14:textId="77777777" w:rsidR="00C97CD1" w:rsidRDefault="00000000" w:rsidP="00381FF9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958"/>
        </w:tabs>
        <w:ind w:left="958" w:hanging="359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uszczelnienie przepustów,</w:t>
      </w:r>
    </w:p>
    <w:p w14:paraId="00000030" w14:textId="7D1236CE" w:rsidR="00C97CD1" w:rsidRPr="00381FF9" w:rsidRDefault="00000000" w:rsidP="00381FF9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958"/>
        </w:tabs>
        <w:ind w:left="958" w:hanging="359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wykonanie dokumentacji powykonawczej między innymi karty materiałowe, wymagane atesty</w:t>
      </w:r>
      <w:r w:rsidR="00381FF9">
        <w:rPr>
          <w:rFonts w:ascii="Calibri" w:eastAsia="Calibri" w:hAnsi="Calibri" w:cs="Calibri"/>
          <w:color w:val="000000"/>
          <w:sz w:val="24"/>
          <w:szCs w:val="24"/>
        </w:rPr>
        <w:t xml:space="preserve">, </w:t>
      </w:r>
      <w:r w:rsidRPr="00381FF9">
        <w:rPr>
          <w:rFonts w:ascii="Calibri" w:eastAsia="Calibri" w:hAnsi="Calibri" w:cs="Calibri"/>
          <w:color w:val="000000"/>
          <w:sz w:val="24"/>
          <w:szCs w:val="24"/>
        </w:rPr>
        <w:t>aprobaty techniczne deklaracje zgodności schematy połączeń, charakterystyki zastosowanych urządzeń, instrukcję obsługi i konserwacji instalacji, pomiary ochronne oraz inne wymagane prawem,</w:t>
      </w:r>
    </w:p>
    <w:p w14:paraId="00000031" w14:textId="77777777" w:rsidR="00C97CD1" w:rsidRDefault="00000000" w:rsidP="00381FF9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958"/>
        </w:tabs>
        <w:ind w:left="958" w:hanging="359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złożenie wniosku o wydanie pozwolenia na użytkowanie instalacji fotowoltaicznej.</w:t>
      </w:r>
    </w:p>
    <w:p w14:paraId="00000032" w14:textId="77777777" w:rsidR="00C97CD1" w:rsidRDefault="00000000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0"/>
        </w:tabs>
        <w:spacing w:before="281"/>
        <w:ind w:left="850" w:hanging="458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Ogólne wymagania dotyczące robót</w:t>
      </w:r>
    </w:p>
    <w:p w14:paraId="00000033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ind w:left="392" w:right="209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Wykonawca robót jest odpowiedzialny za jakość ich wykonania oraz za zgodność z dokumentacją projektową i zaleceniami producenta.</w:t>
      </w:r>
    </w:p>
    <w:p w14:paraId="00000034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ind w:left="392" w:right="210"/>
        <w:jc w:val="both"/>
        <w:rPr>
          <w:rFonts w:ascii="Calibri" w:eastAsia="Calibri" w:hAnsi="Calibri" w:cs="Calibri"/>
          <w:color w:val="000000"/>
          <w:sz w:val="24"/>
          <w:szCs w:val="24"/>
        </w:rPr>
        <w:sectPr w:rsidR="00C97CD1">
          <w:headerReference w:type="default" r:id="rId8"/>
          <w:pgSz w:w="11910" w:h="16840"/>
          <w:pgMar w:top="1740" w:right="920" w:bottom="280" w:left="740" w:header="281" w:footer="0" w:gutter="0"/>
          <w:cols w:space="708"/>
        </w:sectPr>
      </w:pPr>
      <w:r>
        <w:rPr>
          <w:rFonts w:ascii="Calibri" w:eastAsia="Calibri" w:hAnsi="Calibri" w:cs="Calibri"/>
          <w:color w:val="000000"/>
          <w:sz w:val="24"/>
          <w:szCs w:val="24"/>
        </w:rPr>
        <w:t>Rodzaje (typy) urządzeń, osprzętu i materiałów pomocniczych zastosowanych do wykonywania instalacji powinny być zgodne z podanymi w dokumentacji projektowej. Zastosowanie do wykonania instalacji innych rodzajów (typów) urządzeń i osprzętu niż wymienione w projekcie dopuszczalne jest jedynie pod warunkiem wprowadzenia do dokumentacji projektowej zmian uzgodnionych w obowiązującym trybie z Zamawiającym.</w:t>
      </w:r>
    </w:p>
    <w:p w14:paraId="00000035" w14:textId="77777777" w:rsidR="00C97CD1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621"/>
        </w:tabs>
        <w:spacing w:before="280"/>
        <w:ind w:left="621" w:hanging="229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lastRenderedPageBreak/>
        <w:t>MATERIAŁY</w:t>
      </w:r>
    </w:p>
    <w:p w14:paraId="00000036" w14:textId="77777777" w:rsidR="00C97CD1" w:rsidRDefault="00C97CD1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4"/>
          <w:szCs w:val="24"/>
        </w:rPr>
      </w:pPr>
    </w:p>
    <w:p w14:paraId="00000037" w14:textId="77777777" w:rsidR="00C97CD1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850"/>
        </w:tabs>
        <w:ind w:left="850" w:hanging="458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Wymagania ogólne</w:t>
      </w:r>
    </w:p>
    <w:p w14:paraId="00000038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ind w:left="392" w:right="213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Wszystkie materiały do wykonania układu instalacji fotowoltaicznych powinny odpowiadać parametrom technicznym wyspecyfikowanym w dokumentacji projektowej i wykazach materiałowych oraz wymaganiom odpowiednich norm i aprobat technicznych.</w:t>
      </w:r>
    </w:p>
    <w:p w14:paraId="00000039" w14:textId="77777777" w:rsidR="00C97CD1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797"/>
        </w:tabs>
        <w:spacing w:before="292"/>
        <w:ind w:left="797" w:hanging="405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Odbiór materiałów na budowie</w:t>
      </w:r>
    </w:p>
    <w:p w14:paraId="0000003A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spacing w:before="2"/>
        <w:ind w:left="392" w:right="210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Materiały należy dostarczać na budowę wraz ze świadectwami jakości, kartami gwarancyjnymi, protokołami odbioru technicznego. Dostarczone na miejsce budowy materiały należy sprawdzić pod względem kompletności i zgodności z danymi wytwórcy. W przypadku stwierdzenia wad lub nasuwających się wątpliwości mogących mieć wpływ na jakość wykonania robót, materiały należy przed ich wbudowaniem poinformować o tym niezwłocznie Zamawiającego w celu podjęcia decyzji w sprawie dalszych kroków.</w:t>
      </w:r>
    </w:p>
    <w:p w14:paraId="0000003B" w14:textId="77777777" w:rsidR="00C97CD1" w:rsidRDefault="00C97CD1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4"/>
          <w:szCs w:val="24"/>
        </w:rPr>
      </w:pPr>
    </w:p>
    <w:p w14:paraId="0000003C" w14:textId="77777777" w:rsidR="00C97CD1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797"/>
        </w:tabs>
        <w:ind w:left="797" w:hanging="405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Składowanie materiałów na terenie budowy</w:t>
      </w:r>
    </w:p>
    <w:p w14:paraId="0000003D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ind w:left="392" w:right="209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Składowanie materiałów powinno odbywać się zgodnie z zaleceniami producentów, w warunkach zapobiegających zniszczeniu, uszkodzeniu lub pogorszeniu się właściwości technicznych na skutek wpływu czynników atmosferycznych lub fizykochemicznych. Należy zachować wymagania wynikające ze specjalnych właściwości materiałów oraz wymagania w zakresie bezpieczeństwa przeciwpożarowego.</w:t>
      </w:r>
    </w:p>
    <w:p w14:paraId="0000003E" w14:textId="77777777" w:rsidR="00C97CD1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850"/>
        </w:tabs>
        <w:spacing w:before="292"/>
        <w:ind w:left="850" w:hanging="458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Rodzaj materiałów</w:t>
      </w:r>
    </w:p>
    <w:p w14:paraId="7914BC12" w14:textId="77777777" w:rsidR="00381FF9" w:rsidRDefault="00000000" w:rsidP="00381FF9">
      <w:pPr>
        <w:numPr>
          <w:ilvl w:val="2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985"/>
          <w:tab w:val="left" w:pos="1101"/>
        </w:tabs>
        <w:ind w:right="6961" w:hanging="709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Panele fotowoltaiczne</w:t>
      </w:r>
    </w:p>
    <w:p w14:paraId="0000003F" w14:textId="1BD768DC" w:rsidR="00C97CD1" w:rsidRDefault="00000000" w:rsidP="00381FF9">
      <w:pPr>
        <w:pBdr>
          <w:top w:val="nil"/>
          <w:left w:val="nil"/>
          <w:bottom w:val="nil"/>
          <w:right w:val="nil"/>
          <w:between w:val="nil"/>
        </w:pBdr>
        <w:tabs>
          <w:tab w:val="left" w:pos="985"/>
          <w:tab w:val="left" w:pos="1101"/>
        </w:tabs>
        <w:ind w:left="1101" w:right="6961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Wymagania dla</w:t>
      </w:r>
      <w:r w:rsidR="00381FF9">
        <w:rPr>
          <w:rFonts w:ascii="Calibri" w:eastAsia="Calibri" w:hAnsi="Calibri" w:cs="Calibri"/>
          <w:color w:val="000000"/>
          <w:sz w:val="24"/>
          <w:szCs w:val="24"/>
        </w:rPr>
        <w:t xml:space="preserve"> ogniw</w:t>
      </w:r>
    </w:p>
    <w:p w14:paraId="00000040" w14:textId="77777777" w:rsidR="00C97CD1" w:rsidRDefault="00000000" w:rsidP="00381FF9">
      <w:pPr>
        <w:numPr>
          <w:ilvl w:val="3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25"/>
        </w:tabs>
        <w:ind w:left="1525" w:hanging="359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dodatnia tolerancja mocy 0~+3%,</w:t>
      </w:r>
    </w:p>
    <w:p w14:paraId="00000041" w14:textId="77777777" w:rsidR="00C97CD1" w:rsidRDefault="00000000" w:rsidP="00381FF9">
      <w:pPr>
        <w:numPr>
          <w:ilvl w:val="3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25"/>
        </w:tabs>
        <w:ind w:left="1525" w:hanging="359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odporność na amoniak oraz opary solne,</w:t>
      </w:r>
    </w:p>
    <w:p w14:paraId="00000042" w14:textId="77777777" w:rsidR="00C97CD1" w:rsidRDefault="00000000" w:rsidP="00381FF9">
      <w:pPr>
        <w:numPr>
          <w:ilvl w:val="3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25"/>
        </w:tabs>
        <w:ind w:left="1525" w:hanging="359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min. </w:t>
      </w:r>
      <w:r>
        <w:rPr>
          <w:sz w:val="24"/>
          <w:szCs w:val="24"/>
        </w:rPr>
        <w:t>3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diody bypass,</w:t>
      </w:r>
    </w:p>
    <w:p w14:paraId="00000043" w14:textId="77777777" w:rsidR="00C97CD1" w:rsidRDefault="00000000" w:rsidP="00381FF9">
      <w:pPr>
        <w:numPr>
          <w:ilvl w:val="3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25"/>
        </w:tabs>
        <w:ind w:left="1525" w:hanging="359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25 lat gwarancji nominalnej mocy wyjściowej na poziomie min. 84,0%,</w:t>
      </w:r>
    </w:p>
    <w:p w14:paraId="00000044" w14:textId="77777777" w:rsidR="00C97CD1" w:rsidRDefault="00000000" w:rsidP="00381FF9">
      <w:pPr>
        <w:numPr>
          <w:ilvl w:val="3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25"/>
        </w:tabs>
        <w:ind w:left="1525" w:hanging="359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min. 12 lat gwarancji na produkt,</w:t>
      </w:r>
    </w:p>
    <w:p w14:paraId="00000045" w14:textId="77777777" w:rsidR="00C97CD1" w:rsidRDefault="00000000" w:rsidP="00381FF9">
      <w:pPr>
        <w:numPr>
          <w:ilvl w:val="3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26"/>
        </w:tabs>
        <w:ind w:right="214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wysoka wytrzymałość </w:t>
      </w:r>
      <w:r>
        <w:rPr>
          <w:rFonts w:ascii="Calibri" w:eastAsia="Calibri" w:hAnsi="Calibri" w:cs="Calibri"/>
          <w:i/>
          <w:color w:val="000000"/>
          <w:sz w:val="24"/>
          <w:szCs w:val="24"/>
        </w:rPr>
        <w:t xml:space="preserve">zgodnie z normą IEC 61215): </w:t>
      </w:r>
      <w:r>
        <w:rPr>
          <w:rFonts w:ascii="Calibri" w:eastAsia="Calibri" w:hAnsi="Calibri" w:cs="Calibri"/>
          <w:color w:val="000000"/>
          <w:sz w:val="24"/>
          <w:szCs w:val="24"/>
        </w:rPr>
        <w:t>klasa odporności na parcie wiatru &lt; 2400 Pa, klasa odporności na parcie śniegu &lt; 5400 Pa, odporność na kulę gradową o średnicy co najmniej 25 mm i prędkości 23 m/s.</w:t>
      </w:r>
    </w:p>
    <w:p w14:paraId="00000046" w14:textId="4004722F" w:rsidR="00C97CD1" w:rsidRPr="00381FF9" w:rsidRDefault="00381FF9" w:rsidP="00381FF9">
      <w:pPr>
        <w:numPr>
          <w:ilvl w:val="3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26"/>
        </w:tabs>
        <w:ind w:right="214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381FF9">
        <w:rPr>
          <w:rFonts w:ascii="Calibri" w:eastAsia="Calibri" w:hAnsi="Calibri" w:cs="Calibri"/>
          <w:color w:val="000000"/>
          <w:sz w:val="24"/>
          <w:szCs w:val="24"/>
        </w:rPr>
        <w:t>m</w:t>
      </w:r>
      <w:r w:rsidR="00000000" w:rsidRPr="00381FF9">
        <w:rPr>
          <w:rFonts w:ascii="Calibri" w:eastAsia="Calibri" w:hAnsi="Calibri" w:cs="Calibri"/>
          <w:color w:val="000000"/>
          <w:sz w:val="24"/>
          <w:szCs w:val="24"/>
        </w:rPr>
        <w:t>aksymalny wymiar modułu to 1750x1140x30mm</w:t>
      </w:r>
    </w:p>
    <w:p w14:paraId="00000047" w14:textId="77777777" w:rsidR="00C97CD1" w:rsidRDefault="00000000" w:rsidP="00381FF9">
      <w:pPr>
        <w:numPr>
          <w:ilvl w:val="2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986"/>
        </w:tabs>
        <w:ind w:left="986" w:hanging="594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Inwertery</w:t>
      </w:r>
    </w:p>
    <w:p w14:paraId="00000048" w14:textId="77777777" w:rsidR="00C97CD1" w:rsidRDefault="00000000" w:rsidP="00381FF9">
      <w:pPr>
        <w:pBdr>
          <w:top w:val="nil"/>
          <w:left w:val="nil"/>
          <w:bottom w:val="nil"/>
          <w:right w:val="nil"/>
          <w:between w:val="nil"/>
        </w:pBdr>
        <w:ind w:left="1101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Wymagania dla inwerterów:</w:t>
      </w:r>
    </w:p>
    <w:p w14:paraId="00000049" w14:textId="77777777" w:rsidR="00C97CD1" w:rsidRDefault="00000000" w:rsidP="00381FF9">
      <w:pPr>
        <w:numPr>
          <w:ilvl w:val="3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25"/>
        </w:tabs>
        <w:ind w:left="1525" w:hanging="359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wysoka sprawność min 97%,</w:t>
      </w:r>
    </w:p>
    <w:p w14:paraId="0000004A" w14:textId="77777777" w:rsidR="00C97CD1" w:rsidRDefault="00000000" w:rsidP="00381FF9">
      <w:pPr>
        <w:numPr>
          <w:ilvl w:val="3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26"/>
        </w:tabs>
        <w:ind w:right="219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z modułami wifi, </w:t>
      </w:r>
      <w:proofErr w:type="spellStart"/>
      <w:r>
        <w:rPr>
          <w:rFonts w:ascii="Calibri" w:eastAsia="Calibri" w:hAnsi="Calibri" w:cs="Calibri"/>
          <w:color w:val="000000"/>
          <w:sz w:val="24"/>
          <w:szCs w:val="24"/>
        </w:rPr>
        <w:t>lan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 xml:space="preserve"> lub innym interfejsem pozwalającym na współpracę z systemami teletechniki oraz możliwością kontroli parametrów pracy przez zleceniodawcę,</w:t>
      </w:r>
    </w:p>
    <w:p w14:paraId="0000004B" w14:textId="77777777" w:rsidR="00C97CD1" w:rsidRDefault="00000000" w:rsidP="00381FF9">
      <w:pPr>
        <w:numPr>
          <w:ilvl w:val="3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26"/>
        </w:tabs>
        <w:ind w:right="220" w:hanging="355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falowniki </w:t>
      </w:r>
      <w:r>
        <w:rPr>
          <w:sz w:val="24"/>
          <w:szCs w:val="24"/>
        </w:rPr>
        <w:t>muszą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posiadać min. zabezpieczenie AFCI, oraz dodatkowo jeżeli takie występuje razem z AFDD, zabezpieczenia pracujące w Polsce – Unii Europejskiej</w:t>
      </w:r>
    </w:p>
    <w:p w14:paraId="0000004C" w14:textId="77777777" w:rsidR="00C97CD1" w:rsidRDefault="00000000" w:rsidP="00381FF9">
      <w:pPr>
        <w:numPr>
          <w:ilvl w:val="3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25"/>
        </w:tabs>
        <w:ind w:left="1525" w:hanging="359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min. 10 lat gwarancji na falowniki</w:t>
      </w:r>
    </w:p>
    <w:p w14:paraId="0000004D" w14:textId="77777777" w:rsidR="00C97CD1" w:rsidRDefault="00C97CD1" w:rsidP="00381FF9">
      <w:pPr>
        <w:pBdr>
          <w:top w:val="nil"/>
          <w:left w:val="nil"/>
          <w:bottom w:val="nil"/>
          <w:right w:val="nil"/>
          <w:between w:val="nil"/>
        </w:pBdr>
        <w:tabs>
          <w:tab w:val="left" w:pos="1525"/>
        </w:tabs>
        <w:ind w:left="1526"/>
        <w:rPr>
          <w:rFonts w:ascii="Calibri" w:eastAsia="Calibri" w:hAnsi="Calibri" w:cs="Calibri"/>
          <w:color w:val="000000"/>
          <w:sz w:val="24"/>
          <w:szCs w:val="24"/>
        </w:rPr>
        <w:sectPr w:rsidR="00C97CD1">
          <w:headerReference w:type="default" r:id="rId9"/>
          <w:pgSz w:w="11910" w:h="16840"/>
          <w:pgMar w:top="1740" w:right="920" w:bottom="280" w:left="740" w:header="281" w:footer="0" w:gutter="0"/>
          <w:cols w:space="708"/>
        </w:sectPr>
      </w:pPr>
    </w:p>
    <w:p w14:paraId="0000004E" w14:textId="77777777" w:rsidR="00C97CD1" w:rsidRDefault="00C97CD1" w:rsidP="00381FF9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4"/>
          <w:szCs w:val="24"/>
        </w:rPr>
      </w:pPr>
    </w:p>
    <w:p w14:paraId="0000004F" w14:textId="77777777" w:rsidR="00C97CD1" w:rsidRDefault="00000000" w:rsidP="00381FF9">
      <w:pPr>
        <w:numPr>
          <w:ilvl w:val="2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986"/>
        </w:tabs>
        <w:ind w:left="986" w:hanging="594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System montażowy</w:t>
      </w:r>
    </w:p>
    <w:p w14:paraId="00000050" w14:textId="77777777" w:rsidR="00C97CD1" w:rsidRDefault="00000000" w:rsidP="00381FF9">
      <w:pPr>
        <w:pBdr>
          <w:top w:val="nil"/>
          <w:left w:val="nil"/>
          <w:bottom w:val="nil"/>
          <w:right w:val="nil"/>
          <w:between w:val="nil"/>
        </w:pBdr>
        <w:ind w:left="1101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Wymagania dla konstrukcji nośnej:</w:t>
      </w:r>
    </w:p>
    <w:p w14:paraId="00000051" w14:textId="77777777" w:rsidR="00C97CD1" w:rsidRDefault="00000000" w:rsidP="00381FF9">
      <w:pPr>
        <w:numPr>
          <w:ilvl w:val="3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25"/>
        </w:tabs>
        <w:ind w:left="1525" w:hanging="359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aluminium lub stal nierdzewna,</w:t>
      </w:r>
    </w:p>
    <w:p w14:paraId="00000052" w14:textId="77777777" w:rsidR="00C97CD1" w:rsidRDefault="00000000" w:rsidP="00381FF9">
      <w:pPr>
        <w:numPr>
          <w:ilvl w:val="3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25"/>
        </w:tabs>
        <w:ind w:left="1525" w:hanging="359"/>
        <w:rPr>
          <w:rFonts w:ascii="Calibri" w:eastAsia="Calibri" w:hAnsi="Calibri" w:cs="Calibri"/>
          <w:color w:val="000000"/>
          <w:sz w:val="24"/>
          <w:szCs w:val="24"/>
        </w:rPr>
      </w:pPr>
      <w:r w:rsidRPr="00381FF9">
        <w:rPr>
          <w:rFonts w:ascii="Calibri" w:eastAsia="Calibri" w:hAnsi="Calibri" w:cs="Calibri"/>
          <w:color w:val="000000"/>
          <w:sz w:val="24"/>
          <w:szCs w:val="24"/>
        </w:rPr>
        <w:t>konstrukcja montażowa dedykowana do montażu na dachu płaskim pokrytym membraną w systemie balastowym</w:t>
      </w:r>
    </w:p>
    <w:p w14:paraId="00000053" w14:textId="77777777" w:rsidR="00C97CD1" w:rsidRDefault="00000000" w:rsidP="00381FF9">
      <w:pPr>
        <w:numPr>
          <w:ilvl w:val="3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26"/>
        </w:tabs>
        <w:ind w:right="209"/>
        <w:rPr>
          <w:rFonts w:ascii="Calibri" w:eastAsia="Calibri" w:hAnsi="Calibri" w:cs="Calibri"/>
          <w:color w:val="000000"/>
          <w:sz w:val="24"/>
          <w:szCs w:val="24"/>
        </w:rPr>
      </w:pPr>
      <w:r w:rsidRPr="00381FF9">
        <w:rPr>
          <w:rFonts w:ascii="Calibri" w:eastAsia="Calibri" w:hAnsi="Calibri" w:cs="Calibri"/>
          <w:color w:val="000000"/>
          <w:sz w:val="24"/>
          <w:szCs w:val="24"/>
        </w:rPr>
        <w:t>Obciążenie wywołane montażem konstrukcji wraz z balastem musi być obliczone i przedstawione w postaci raportu przygotowanego przez producenta konstrukcji</w:t>
      </w:r>
    </w:p>
    <w:p w14:paraId="00000054" w14:textId="77777777" w:rsidR="00C97CD1" w:rsidRDefault="00000000" w:rsidP="00381FF9">
      <w:pPr>
        <w:numPr>
          <w:ilvl w:val="3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25"/>
        </w:tabs>
        <w:ind w:left="1525" w:hanging="359"/>
        <w:rPr>
          <w:rFonts w:ascii="Calibri" w:eastAsia="Calibri" w:hAnsi="Calibri" w:cs="Calibri"/>
          <w:color w:val="000000"/>
          <w:sz w:val="24"/>
          <w:szCs w:val="24"/>
        </w:rPr>
      </w:pPr>
      <w:r w:rsidRPr="00381FF9">
        <w:rPr>
          <w:rFonts w:ascii="Calibri" w:eastAsia="Calibri" w:hAnsi="Calibri" w:cs="Calibri"/>
          <w:color w:val="000000"/>
          <w:sz w:val="24"/>
          <w:szCs w:val="24"/>
        </w:rPr>
        <w:t>min. 10 lat gwarancji na system montażowy</w:t>
      </w:r>
    </w:p>
    <w:p w14:paraId="00000055" w14:textId="77777777" w:rsidR="00C97CD1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621"/>
        </w:tabs>
        <w:spacing w:before="286"/>
        <w:ind w:left="621" w:hanging="229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TRANSPORT</w:t>
      </w:r>
    </w:p>
    <w:p w14:paraId="00000056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ind w:left="392" w:right="214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Materiały na budowę powinny być przywożone odpowiednimi środkami transportu, zabezpieczone w sposób zapobiegający uszkodzeniu oraz zgodnie z przepisami BHP i ruchu drogowego. Należy zwracać szczególną uwagę na rozładunek palet z modułami fotowoltaicznymi i stosować się do wskazań na opakowaniu. Wykonawca jest zobowiązany do stosowania jedynie takich środków transportu, które nie wpłyną niekorzystnie na jakość wykonywanych robót i właściwości przewożonych materiałów.</w:t>
      </w:r>
    </w:p>
    <w:p w14:paraId="00000057" w14:textId="77777777" w:rsidR="00C97CD1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673"/>
        </w:tabs>
        <w:spacing w:before="291"/>
        <w:ind w:left="673" w:hanging="281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WYKONANIE ROBÓT</w:t>
      </w:r>
    </w:p>
    <w:p w14:paraId="00000058" w14:textId="77777777" w:rsidR="00C97CD1" w:rsidRDefault="00C97CD1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4"/>
          <w:szCs w:val="24"/>
        </w:rPr>
      </w:pPr>
    </w:p>
    <w:p w14:paraId="00000059" w14:textId="77777777" w:rsidR="00C97CD1" w:rsidRDefault="00000000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797"/>
        </w:tabs>
        <w:ind w:left="797" w:hanging="405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Okablowanie i rozdzielnia zawierająca telemechanikę.</w:t>
      </w:r>
    </w:p>
    <w:p w14:paraId="0000005A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spacing w:before="2"/>
        <w:ind w:left="392" w:right="209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Okablowanie po stronie DC musi być dostosowane do wymogów instalacji PV. Trasy kablowe na dachu prowadzić w korytach metalowych, wewnątrz budynku - w korytach metalowych. Do łączenia modułów należy stosować kable jednożyłowe miedziane giętkie w specjalnej izolacji do stosowania w systemach fotowoltaicznych. Do przewodów stosować systemowe akcesoria łączeniowe - dławiki, złącza, wtyki, itp.</w:t>
      </w:r>
    </w:p>
    <w:p w14:paraId="0000005B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spacing w:line="291" w:lineRule="auto"/>
        <w:ind w:left="392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Stosowane przewody muszą spełniać następujące wymagania:</w:t>
      </w:r>
    </w:p>
    <w:p w14:paraId="0000005C" w14:textId="77777777" w:rsidR="00C97CD1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1112"/>
        </w:tabs>
        <w:ind w:left="1112" w:hanging="358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temperatura pracy od -40°C do+120°C,</w:t>
      </w:r>
    </w:p>
    <w:p w14:paraId="0000005D" w14:textId="77777777" w:rsidR="00C97CD1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1112"/>
        </w:tabs>
        <w:spacing w:before="35"/>
        <w:ind w:left="1112" w:hanging="358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odporność na promieniowanie UV i ozon,</w:t>
      </w:r>
    </w:p>
    <w:p w14:paraId="0000005E" w14:textId="77777777" w:rsidR="00C97CD1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1112"/>
        </w:tabs>
        <w:spacing w:before="38"/>
        <w:ind w:left="1112" w:hanging="358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odporność na środowisko kwaśne i warunki atmosferyczne (wiatr, deszcz).</w:t>
      </w:r>
    </w:p>
    <w:p w14:paraId="0000005F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spacing w:before="36"/>
        <w:ind w:left="392" w:right="211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Po stronie AC stosować przewody wielożyłowe miedziane w układzie TN-S w izolacji i osłonie </w:t>
      </w:r>
      <w:proofErr w:type="spellStart"/>
      <w:r>
        <w:rPr>
          <w:rFonts w:ascii="Calibri" w:eastAsia="Calibri" w:hAnsi="Calibri" w:cs="Calibri"/>
          <w:color w:val="000000"/>
          <w:sz w:val="24"/>
          <w:szCs w:val="24"/>
        </w:rPr>
        <w:t>polwinitowej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 xml:space="preserve"> 0,6/1kV. Przekroje przewodów dobrać zgodnie z dokumentacją projektową. Falowniki zamontowane na zewnątrz w odpowiednim rozproszeniu ze względu na obniżenie zagrożenia pożarowego oraz skrócenie linii DC.</w:t>
      </w:r>
    </w:p>
    <w:p w14:paraId="00000060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ind w:left="392" w:right="217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Rozdzielnica zawierająca telemechanikę zamontowana na hali produkcyjnej wykonana minimum w klasie IP65. Po sprawdzeniu przez zleceniobiorcę wyprowadzenia mocy z rozdzielni telemechaniki do trafostacji za pomocą istniejących przewodów CU 4x125mm.</w:t>
      </w:r>
    </w:p>
    <w:p w14:paraId="00000061" w14:textId="77777777" w:rsidR="00C97CD1" w:rsidRDefault="00C97CD1">
      <w:pPr>
        <w:pBdr>
          <w:top w:val="nil"/>
          <w:left w:val="nil"/>
          <w:bottom w:val="nil"/>
          <w:right w:val="nil"/>
          <w:between w:val="nil"/>
        </w:pBdr>
        <w:spacing w:before="1"/>
        <w:rPr>
          <w:rFonts w:ascii="Calibri" w:eastAsia="Calibri" w:hAnsi="Calibri" w:cs="Calibri"/>
          <w:color w:val="000000"/>
          <w:sz w:val="24"/>
          <w:szCs w:val="24"/>
        </w:rPr>
      </w:pPr>
    </w:p>
    <w:p w14:paraId="00000062" w14:textId="77777777" w:rsidR="00C97CD1" w:rsidRDefault="00000000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797"/>
        </w:tabs>
        <w:ind w:left="797" w:hanging="405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Instalacja fotowoltaiczna.</w:t>
      </w:r>
    </w:p>
    <w:p w14:paraId="00000063" w14:textId="77777777" w:rsidR="00C97CD1" w:rsidRDefault="00000000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986"/>
        </w:tabs>
        <w:ind w:left="986" w:hanging="594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Ogniwa fotowoltaiczne.</w:t>
      </w:r>
    </w:p>
    <w:p w14:paraId="00000064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ind w:left="392"/>
        <w:rPr>
          <w:rFonts w:ascii="Calibri" w:eastAsia="Calibri" w:hAnsi="Calibri" w:cs="Calibri"/>
          <w:color w:val="000000"/>
          <w:sz w:val="24"/>
          <w:szCs w:val="24"/>
        </w:rPr>
        <w:sectPr w:rsidR="00C97CD1">
          <w:headerReference w:type="default" r:id="rId10"/>
          <w:pgSz w:w="11910" w:h="16840"/>
          <w:pgMar w:top="1740" w:right="920" w:bottom="280" w:left="740" w:header="281" w:footer="0" w:gutter="0"/>
          <w:cols w:space="708"/>
        </w:sectPr>
      </w:pPr>
      <w:r>
        <w:rPr>
          <w:rFonts w:ascii="Calibri" w:eastAsia="Calibri" w:hAnsi="Calibri" w:cs="Calibri"/>
          <w:color w:val="000000"/>
          <w:sz w:val="24"/>
          <w:szCs w:val="24"/>
        </w:rPr>
        <w:t>Ogniwa montować na dachu budynku zgodnie ze schematem dokumentacji projektowej i instrukcją montażu producenta.</w:t>
      </w:r>
    </w:p>
    <w:p w14:paraId="00000065" w14:textId="77777777" w:rsidR="00C97CD1" w:rsidRDefault="00000000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986"/>
        </w:tabs>
        <w:spacing w:before="280"/>
        <w:ind w:left="986" w:hanging="594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lastRenderedPageBreak/>
        <w:t>Przemiennik częstotliwości.</w:t>
      </w:r>
    </w:p>
    <w:p w14:paraId="00000066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ind w:left="392" w:right="215"/>
        <w:jc w:val="both"/>
        <w:rPr>
          <w:rFonts w:ascii="Calibri" w:eastAsia="Calibri" w:hAnsi="Calibri" w:cs="Calibri"/>
          <w:color w:val="000000"/>
          <w:sz w:val="24"/>
          <w:szCs w:val="24"/>
          <w:highlight w:val="white"/>
        </w:rPr>
      </w:pPr>
      <w:r>
        <w:rPr>
          <w:rFonts w:ascii="Calibri" w:eastAsia="Calibri" w:hAnsi="Calibri" w:cs="Calibri"/>
          <w:color w:val="000000"/>
          <w:sz w:val="24"/>
          <w:szCs w:val="24"/>
          <w:highlight w:val="white"/>
        </w:rPr>
        <w:t>Połączenie od falownika do rozdzielni zawierającej telemechanikę na hali produkcyjnej wykonać ściśle według instrukcji producenta oraz zgodnie ze schematem dokumentacji projektowej.</w:t>
      </w:r>
    </w:p>
    <w:p w14:paraId="00000067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ind w:left="392" w:right="211"/>
        <w:jc w:val="both"/>
        <w:rPr>
          <w:rFonts w:ascii="Calibri" w:eastAsia="Calibri" w:hAnsi="Calibri" w:cs="Calibri"/>
          <w:color w:val="000000"/>
          <w:sz w:val="24"/>
          <w:szCs w:val="24"/>
          <w:highlight w:val="white"/>
        </w:rPr>
      </w:pPr>
      <w:r>
        <w:rPr>
          <w:rFonts w:ascii="Calibri" w:eastAsia="Calibri" w:hAnsi="Calibri" w:cs="Calibri"/>
          <w:color w:val="000000"/>
          <w:sz w:val="24"/>
          <w:szCs w:val="24"/>
          <w:highlight w:val="white"/>
        </w:rPr>
        <w:t>Łączna moc przetwornic nie może być niższa niż moc znamionowa całej instalacji PV. Przetwornice zamocować na postumentach, dodatkowych kształtownikach połączonych mechanicznie lub do ścian zewnętrznych budynku w ten sposób, aby chronić je przed bezpośrednimi opadami atmosferycznymi oraz działaniem promieni słonecznych.</w:t>
      </w:r>
    </w:p>
    <w:p w14:paraId="00000068" w14:textId="77777777" w:rsidR="00C97CD1" w:rsidRDefault="00C97CD1">
      <w:pPr>
        <w:pBdr>
          <w:top w:val="nil"/>
          <w:left w:val="nil"/>
          <w:bottom w:val="nil"/>
          <w:right w:val="nil"/>
          <w:between w:val="nil"/>
        </w:pBdr>
        <w:spacing w:before="1"/>
        <w:rPr>
          <w:rFonts w:ascii="Calibri" w:eastAsia="Calibri" w:hAnsi="Calibri" w:cs="Calibri"/>
          <w:color w:val="000000"/>
          <w:sz w:val="24"/>
          <w:szCs w:val="24"/>
        </w:rPr>
      </w:pPr>
    </w:p>
    <w:p w14:paraId="00000069" w14:textId="77777777" w:rsidR="00C97CD1" w:rsidRDefault="00000000" w:rsidP="00381FF9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986"/>
        </w:tabs>
        <w:ind w:left="986" w:hanging="594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Środki dodatkowej ochrony od porażeń.</w:t>
      </w:r>
    </w:p>
    <w:p w14:paraId="0000006A" w14:textId="77777777" w:rsidR="00C97CD1" w:rsidRDefault="00000000" w:rsidP="00381FF9">
      <w:pPr>
        <w:pBdr>
          <w:top w:val="nil"/>
          <w:left w:val="nil"/>
          <w:bottom w:val="nil"/>
          <w:right w:val="nil"/>
          <w:between w:val="nil"/>
        </w:pBdr>
        <w:ind w:left="392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Ochronę przed porażeniem prądem elektrycznym zapewni:</w:t>
      </w:r>
    </w:p>
    <w:p w14:paraId="0000006B" w14:textId="77777777" w:rsidR="00C97CD1" w:rsidRDefault="00000000" w:rsidP="00381FF9">
      <w:pPr>
        <w:numPr>
          <w:ilvl w:val="3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958"/>
        </w:tabs>
        <w:ind w:left="958" w:hanging="359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zachowanie odległości izolacyjnych,</w:t>
      </w:r>
    </w:p>
    <w:p w14:paraId="0000006C" w14:textId="77777777" w:rsidR="00C97CD1" w:rsidRDefault="00000000" w:rsidP="00381FF9">
      <w:pPr>
        <w:numPr>
          <w:ilvl w:val="3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958"/>
        </w:tabs>
        <w:ind w:left="958" w:hanging="359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izolacja robocza,</w:t>
      </w:r>
    </w:p>
    <w:p w14:paraId="0000006D" w14:textId="77777777" w:rsidR="00C97CD1" w:rsidRDefault="00000000" w:rsidP="00381FF9">
      <w:pPr>
        <w:numPr>
          <w:ilvl w:val="3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958"/>
        </w:tabs>
        <w:ind w:left="958" w:hanging="359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samoczynne wyłączenie w układzie sieciowym.</w:t>
      </w:r>
    </w:p>
    <w:p w14:paraId="18DF233B" w14:textId="77777777" w:rsidR="00381FF9" w:rsidRDefault="00381FF9" w:rsidP="00381FF9">
      <w:pPr>
        <w:pBdr>
          <w:top w:val="nil"/>
          <w:left w:val="nil"/>
          <w:bottom w:val="nil"/>
          <w:right w:val="nil"/>
          <w:between w:val="nil"/>
        </w:pBdr>
        <w:tabs>
          <w:tab w:val="left" w:pos="958"/>
        </w:tabs>
        <w:ind w:left="958"/>
        <w:rPr>
          <w:rFonts w:ascii="Calibri" w:eastAsia="Calibri" w:hAnsi="Calibri" w:cs="Calibri"/>
          <w:color w:val="000000"/>
          <w:sz w:val="24"/>
          <w:szCs w:val="24"/>
        </w:rPr>
      </w:pPr>
    </w:p>
    <w:p w14:paraId="0000006E" w14:textId="77777777" w:rsidR="00C97CD1" w:rsidRDefault="00000000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986"/>
        </w:tabs>
        <w:spacing w:line="289" w:lineRule="auto"/>
        <w:ind w:left="986" w:hanging="594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Ochrona przeciwprzepięciowa.</w:t>
      </w:r>
    </w:p>
    <w:p w14:paraId="0000006F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ind w:left="392" w:right="213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Wszystkie elementy metalowe elektrowni PV w szczególności konstrukcja wsporcza oraz moduły muszą zostać objęte systemem uziemionych połączeń wyrównawczych: głównego (główna szyna wyrównawcza), miejscowego (dodatkowego - dla części przewodzących, jednocześnie dostępnych) i nieuziemionego. W przypadku niemożności dokonania połączenia bezpośredniego, pomiędzy elementami metalowymi, należy stosować iskierniki.</w:t>
      </w:r>
    </w:p>
    <w:p w14:paraId="00000070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ind w:left="392" w:right="210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Falowniki po stronie AC i DC muszą być chronione ogranicznikami przepięć minimum typ II. Minimalny przekrój przewodu ochronnego do połączenia ograniczników przepięć 6 mm</w:t>
      </w:r>
      <w:r>
        <w:rPr>
          <w:rFonts w:ascii="Calibri" w:eastAsia="Calibri" w:hAnsi="Calibri" w:cs="Calibri"/>
          <w:color w:val="000000"/>
          <w:sz w:val="24"/>
          <w:szCs w:val="24"/>
          <w:vertAlign w:val="superscript"/>
        </w:rPr>
        <w:t>2</w:t>
      </w:r>
      <w:r>
        <w:rPr>
          <w:rFonts w:ascii="Calibri" w:eastAsia="Calibri" w:hAnsi="Calibri" w:cs="Calibri"/>
          <w:color w:val="000000"/>
          <w:sz w:val="24"/>
          <w:szCs w:val="24"/>
        </w:rPr>
        <w:t>. Maksymalna odległość przewodu ochronnego do szyny wyrównania potencjałów 1 metr.</w:t>
      </w:r>
    </w:p>
    <w:p w14:paraId="00000071" w14:textId="77777777" w:rsidR="00C97CD1" w:rsidRDefault="00C97CD1">
      <w:pPr>
        <w:pBdr>
          <w:top w:val="nil"/>
          <w:left w:val="nil"/>
          <w:bottom w:val="nil"/>
          <w:right w:val="nil"/>
          <w:between w:val="nil"/>
        </w:pBdr>
        <w:spacing w:before="1"/>
        <w:rPr>
          <w:rFonts w:ascii="Calibri" w:eastAsia="Calibri" w:hAnsi="Calibri" w:cs="Calibri"/>
          <w:color w:val="000000"/>
          <w:sz w:val="24"/>
          <w:szCs w:val="24"/>
        </w:rPr>
      </w:pPr>
    </w:p>
    <w:p w14:paraId="00000072" w14:textId="77777777" w:rsidR="00C97CD1" w:rsidRDefault="00000000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797"/>
        </w:tabs>
        <w:ind w:left="797" w:hanging="405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Konstrukcja nośna</w:t>
      </w:r>
    </w:p>
    <w:p w14:paraId="00000073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ind w:left="392" w:right="217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Ogniwa fotowoltaiczne montować na konstrukcji wsporczej, przy użyciu systemu montażowego. </w:t>
      </w:r>
    </w:p>
    <w:p w14:paraId="00000074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ind w:left="392" w:right="219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Przy doborze konstrukcji balastowej na dachu pokrytym membraną PVC należy sprawdzić nośność membrany.</w:t>
      </w:r>
    </w:p>
    <w:p w14:paraId="00000075" w14:textId="77777777" w:rsidR="00C97CD1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673"/>
        </w:tabs>
        <w:spacing w:before="292"/>
        <w:ind w:left="673" w:hanging="281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KONTROLA JAKOŚCI ROBÓT</w:t>
      </w:r>
    </w:p>
    <w:p w14:paraId="00000076" w14:textId="77777777" w:rsidR="00C97CD1" w:rsidRDefault="00000000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797"/>
        </w:tabs>
        <w:ind w:left="797" w:hanging="405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Ogólne zasady</w:t>
      </w:r>
    </w:p>
    <w:p w14:paraId="00000077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ind w:left="392" w:right="220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Sprawdzenie i odbiór robót powinno być wykonane zgodnie z normami i przepisami. Sprawdzeniu i kontroli w czasie wykonywania robót oraz po ich zakończeniu powinno podlegać:</w:t>
      </w:r>
    </w:p>
    <w:p w14:paraId="00000078" w14:textId="77777777" w:rsidR="00C97CD1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958"/>
        </w:tabs>
        <w:spacing w:line="296" w:lineRule="auto"/>
        <w:ind w:left="958" w:hanging="359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zgodność wykonania robót z dokumentacją projektową,</w:t>
      </w:r>
    </w:p>
    <w:p w14:paraId="00000079" w14:textId="77777777" w:rsidR="00C97CD1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958"/>
        </w:tabs>
        <w:spacing w:line="293" w:lineRule="auto"/>
        <w:ind w:left="958" w:hanging="359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prawidłowość mocowania konstrukcji i urządzeń,</w:t>
      </w:r>
    </w:p>
    <w:p w14:paraId="0000007A" w14:textId="77777777" w:rsidR="00C97CD1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958"/>
        </w:tabs>
        <w:spacing w:line="294" w:lineRule="auto"/>
        <w:ind w:left="958" w:hanging="359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właściwe wykonanie instalacji i podłączenie urządzeń,</w:t>
      </w:r>
    </w:p>
    <w:p w14:paraId="0000007B" w14:textId="77777777" w:rsidR="00C97CD1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958"/>
        </w:tabs>
        <w:spacing w:line="298" w:lineRule="auto"/>
        <w:ind w:left="958" w:hanging="359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wykonanie wymaganych pomiarów z przekazaniem wyników do protokołu odbioru.</w:t>
      </w:r>
    </w:p>
    <w:p w14:paraId="0000007C" w14:textId="77777777" w:rsidR="00C97CD1" w:rsidRDefault="00000000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797"/>
        </w:tabs>
        <w:spacing w:before="286"/>
        <w:ind w:left="797" w:hanging="405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Próby montażowe po zakończeniu robót</w:t>
      </w:r>
    </w:p>
    <w:p w14:paraId="0000007D" w14:textId="77777777" w:rsidR="00C97CD1" w:rsidRDefault="00000000" w:rsidP="00381FF9">
      <w:pPr>
        <w:pBdr>
          <w:top w:val="nil"/>
          <w:left w:val="nil"/>
          <w:bottom w:val="nil"/>
          <w:right w:val="nil"/>
          <w:between w:val="nil"/>
        </w:pBdr>
        <w:ind w:left="392" w:right="212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Wykonawca zobowiązany jest do przeprowadzenia pomiarów i testów określonych wymogami obowiązujących norm oraz wymaganych przez Operatora Systemu Dystrybucyjnego zwanego dalej OSD, do którego sieci zostanie podłączona elektrownia, m.in. do przeprowadzenia badań:</w:t>
      </w:r>
    </w:p>
    <w:p w14:paraId="0000007E" w14:textId="77777777" w:rsidR="00C97CD1" w:rsidRDefault="00000000" w:rsidP="00381FF9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820"/>
        </w:tabs>
        <w:ind w:hanging="360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rezystancji izolacji,</w:t>
      </w:r>
    </w:p>
    <w:p w14:paraId="0000007F" w14:textId="77777777" w:rsidR="00C97CD1" w:rsidRDefault="00000000" w:rsidP="00381FF9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820"/>
        </w:tabs>
        <w:ind w:hanging="360"/>
        <w:jc w:val="both"/>
        <w:rPr>
          <w:rFonts w:ascii="Calibri" w:eastAsia="Calibri" w:hAnsi="Calibri" w:cs="Calibri"/>
          <w:color w:val="000000"/>
          <w:sz w:val="24"/>
          <w:szCs w:val="24"/>
        </w:rPr>
        <w:sectPr w:rsidR="00C97CD1">
          <w:headerReference w:type="default" r:id="rId11"/>
          <w:pgSz w:w="11910" w:h="16840"/>
          <w:pgMar w:top="1740" w:right="920" w:bottom="280" w:left="740" w:header="281" w:footer="0" w:gutter="0"/>
          <w:cols w:space="708"/>
        </w:sectPr>
      </w:pPr>
      <w:r>
        <w:rPr>
          <w:rFonts w:ascii="Calibri" w:eastAsia="Calibri" w:hAnsi="Calibri" w:cs="Calibri"/>
          <w:color w:val="000000"/>
          <w:sz w:val="24"/>
          <w:szCs w:val="24"/>
        </w:rPr>
        <w:t>ciągłości połączeń obwodów,</w:t>
      </w:r>
    </w:p>
    <w:p w14:paraId="00000080" w14:textId="77777777" w:rsidR="00C97CD1" w:rsidRDefault="00000000" w:rsidP="00381FF9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820"/>
        </w:tabs>
        <w:ind w:hanging="360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lastRenderedPageBreak/>
        <w:t>impedancji pętli zwarcia.</w:t>
      </w:r>
    </w:p>
    <w:p w14:paraId="00000081" w14:textId="77777777" w:rsidR="00C97CD1" w:rsidRDefault="00000000" w:rsidP="00381FF9">
      <w:pPr>
        <w:pBdr>
          <w:top w:val="nil"/>
          <w:left w:val="nil"/>
          <w:bottom w:val="nil"/>
          <w:right w:val="nil"/>
          <w:between w:val="nil"/>
        </w:pBdr>
        <w:ind w:left="392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Próby należy wykonywać w podanej wyżej kolejności. Metody pomiarowe powinny być zgodne z obowiązującymi przepisami.</w:t>
      </w:r>
    </w:p>
    <w:p w14:paraId="00000082" w14:textId="77777777" w:rsidR="00C97CD1" w:rsidRDefault="00000000" w:rsidP="00381FF9">
      <w:pPr>
        <w:pBdr>
          <w:top w:val="nil"/>
          <w:left w:val="nil"/>
          <w:bottom w:val="nil"/>
          <w:right w:val="nil"/>
          <w:between w:val="nil"/>
        </w:pBdr>
        <w:ind w:left="392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Należy dokonać testów:</w:t>
      </w:r>
    </w:p>
    <w:p w14:paraId="00000083" w14:textId="77777777" w:rsidR="00C97CD1" w:rsidRDefault="00000000" w:rsidP="00381FF9">
      <w:pPr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959"/>
        </w:tabs>
        <w:ind w:right="215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charakterystyki U-I każdego z łańcuchów modułów wykonane przy natężeniu promieniowania słonecznego minimum </w:t>
      </w:r>
      <w:r>
        <w:rPr>
          <w:sz w:val="24"/>
          <w:szCs w:val="24"/>
        </w:rPr>
        <w:t>600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W/m</w:t>
      </w:r>
      <w:r>
        <w:rPr>
          <w:rFonts w:ascii="Calibri" w:eastAsia="Calibri" w:hAnsi="Calibri" w:cs="Calibri"/>
          <w:color w:val="000000"/>
          <w:sz w:val="24"/>
          <w:szCs w:val="24"/>
          <w:vertAlign w:val="superscript"/>
        </w:rPr>
        <w:t>2</w:t>
      </w:r>
      <w:r>
        <w:rPr>
          <w:rFonts w:ascii="Calibri" w:eastAsia="Calibri" w:hAnsi="Calibri" w:cs="Calibri"/>
          <w:color w:val="000000"/>
          <w:sz w:val="24"/>
          <w:szCs w:val="24"/>
        </w:rPr>
        <w:t>. Dane z pomiarów muszą zawierać adnotacje odnośnie temperatury modułu w czasie wykonywanego testu, natężenia promieniowania słonecznego, przy jakim został wykonany pomiar;</w:t>
      </w:r>
    </w:p>
    <w:p w14:paraId="00000084" w14:textId="77777777" w:rsidR="00C97CD1" w:rsidRDefault="00000000" w:rsidP="00381FF9">
      <w:pPr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959"/>
        </w:tabs>
        <w:ind w:right="214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pomiar mocy poszczególnych łańcuchów PV modułów przy natężeniu promieniowania słonecznego minimum </w:t>
      </w:r>
      <w:r>
        <w:rPr>
          <w:sz w:val="24"/>
          <w:szCs w:val="24"/>
        </w:rPr>
        <w:t>600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W/m</w:t>
      </w:r>
      <w:r>
        <w:rPr>
          <w:rFonts w:ascii="Calibri" w:eastAsia="Calibri" w:hAnsi="Calibri" w:cs="Calibri"/>
          <w:color w:val="000000"/>
          <w:sz w:val="24"/>
          <w:szCs w:val="24"/>
          <w:vertAlign w:val="superscript"/>
        </w:rPr>
        <w:t>2</w:t>
      </w:r>
      <w:r>
        <w:rPr>
          <w:rFonts w:ascii="Calibri" w:eastAsia="Calibri" w:hAnsi="Calibri" w:cs="Calibri"/>
          <w:color w:val="000000"/>
          <w:sz w:val="24"/>
          <w:szCs w:val="24"/>
        </w:rPr>
        <w:t>;</w:t>
      </w:r>
    </w:p>
    <w:p w14:paraId="00000085" w14:textId="77777777" w:rsidR="00C97CD1" w:rsidRDefault="00000000" w:rsidP="00381FF9">
      <w:pPr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959"/>
        </w:tabs>
        <w:ind w:right="214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pomiar mocy czynnej każdego z falowników i współczynnika mocy przy natężeniu promieniowania słonecznego minimum </w:t>
      </w:r>
      <w:r>
        <w:rPr>
          <w:sz w:val="24"/>
          <w:szCs w:val="24"/>
        </w:rPr>
        <w:t>600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W/m</w:t>
      </w:r>
      <w:r>
        <w:rPr>
          <w:rFonts w:ascii="Calibri" w:eastAsia="Calibri" w:hAnsi="Calibri" w:cs="Calibri"/>
          <w:color w:val="000000"/>
          <w:sz w:val="24"/>
          <w:szCs w:val="24"/>
          <w:vertAlign w:val="superscript"/>
        </w:rPr>
        <w:t>2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z adnotacją o warunkach meteorologicznych, przy jakim został wykonany pomiar (temperatura otoczenia, natężenie promieniowania słonecznego, prędkość wiatru);</w:t>
      </w:r>
    </w:p>
    <w:p w14:paraId="00000086" w14:textId="77777777" w:rsidR="00C97CD1" w:rsidRDefault="00000000" w:rsidP="00381FF9">
      <w:pPr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959"/>
        </w:tabs>
        <w:ind w:right="219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badanie termowizyjne pracujących modułów fotowoltaicznych przy natężeniu promieniowania słonecznego minimum </w:t>
      </w:r>
      <w:r>
        <w:rPr>
          <w:sz w:val="24"/>
          <w:szCs w:val="24"/>
        </w:rPr>
        <w:t>600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W/m</w:t>
      </w:r>
      <w:r>
        <w:rPr>
          <w:rFonts w:ascii="Calibri" w:eastAsia="Calibri" w:hAnsi="Calibri" w:cs="Calibri"/>
          <w:color w:val="000000"/>
          <w:sz w:val="24"/>
          <w:szCs w:val="24"/>
          <w:vertAlign w:val="superscript"/>
        </w:rPr>
        <w:t>2</w:t>
      </w:r>
      <w:r>
        <w:rPr>
          <w:rFonts w:ascii="Calibri" w:eastAsia="Calibri" w:hAnsi="Calibri" w:cs="Calibri"/>
          <w:color w:val="000000"/>
          <w:sz w:val="24"/>
          <w:szCs w:val="24"/>
        </w:rPr>
        <w:t>.</w:t>
      </w:r>
    </w:p>
    <w:p w14:paraId="00000087" w14:textId="77777777" w:rsidR="00C97CD1" w:rsidRDefault="00000000" w:rsidP="00381FF9">
      <w:pPr>
        <w:pBdr>
          <w:top w:val="nil"/>
          <w:left w:val="nil"/>
          <w:bottom w:val="nil"/>
          <w:right w:val="nil"/>
          <w:between w:val="nil"/>
        </w:pBdr>
        <w:ind w:left="392" w:right="212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Po zakończeniu pomiarów i prób należy powtórnie sprawdzić czy zainstalowane urządzenia i osprzęt spełniają warunki bezpieczeństwa użytkowania. Odnosi się to głównie do środków ochrony przeciwporażeniowej.</w:t>
      </w:r>
    </w:p>
    <w:p w14:paraId="00000088" w14:textId="77777777" w:rsidR="00C97CD1" w:rsidRDefault="00000000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797"/>
        </w:tabs>
        <w:spacing w:before="290"/>
        <w:ind w:left="797" w:hanging="405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Pewność zasilania</w:t>
      </w:r>
    </w:p>
    <w:p w14:paraId="00000089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ind w:left="392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Maksymalne dopuszczalne spadki napięć dla linii zasilającej od transformatora do ostatniego odbiornika nie mogą przekraczać: - dla odbiorników siłowych 5%.</w:t>
      </w:r>
    </w:p>
    <w:p w14:paraId="0000008A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spacing w:before="2"/>
        <w:ind w:left="392" w:right="228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Wszystkie zabezpieczenia muszą wytrzymać prąd zwarciowy w miejscu zainstalowania. Selektywność działania zabezpieczeń zwarciowych uzyskuje się przez stopniowanie prądów znamionowych.</w:t>
      </w:r>
    </w:p>
    <w:p w14:paraId="0000008B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ind w:left="392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Zabezpieczenia nadprądowe oraz różnicowoprądowe muszą spełniać warunki automatycznego odłączenia uszkodzonego urządzenia od źródła zasilania w określonym przepisami czasie.</w:t>
      </w:r>
    </w:p>
    <w:p w14:paraId="0000008C" w14:textId="77777777" w:rsidR="00C97CD1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673"/>
        </w:tabs>
        <w:spacing w:before="292"/>
        <w:ind w:left="673" w:hanging="281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OBMIAR ROBÓT</w:t>
      </w:r>
    </w:p>
    <w:p w14:paraId="0000008D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ind w:left="392" w:right="214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Po zakończeniu robót instalacyjnych należy dokonać obmiaru powykonawczego instalacji. Obmiar robót obejmuje całość instalacji. Obmiar ten powinien być wykonany w jednostkach i zgodnie z zasadami przyjętymi w kosztorysowaniu.</w:t>
      </w:r>
    </w:p>
    <w:p w14:paraId="0000008E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ind w:left="392" w:right="218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Jednostką obmiaru jest m (metr) wykonanego i odebranego przewodu; szt. (sztuka) i </w:t>
      </w:r>
      <w:proofErr w:type="spellStart"/>
      <w:r>
        <w:rPr>
          <w:rFonts w:ascii="Calibri" w:eastAsia="Calibri" w:hAnsi="Calibri" w:cs="Calibri"/>
          <w:color w:val="000000"/>
          <w:sz w:val="24"/>
          <w:szCs w:val="24"/>
        </w:rPr>
        <w:t>kpl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>. (komplet) zamontowanych urządzeń.</w:t>
      </w:r>
    </w:p>
    <w:p w14:paraId="0000008F" w14:textId="77777777" w:rsidR="00C97CD1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673"/>
        </w:tabs>
        <w:spacing w:before="292"/>
        <w:ind w:left="673" w:hanging="281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ODBIÓR ROBÓT</w:t>
      </w:r>
    </w:p>
    <w:p w14:paraId="00000090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spacing w:before="2"/>
        <w:ind w:left="392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Zakres badań odbiorczych obejmuje:</w:t>
      </w:r>
    </w:p>
    <w:p w14:paraId="00000091" w14:textId="77777777" w:rsidR="00C97CD1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820"/>
        </w:tabs>
        <w:ind w:hanging="360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oględziny instalacji,</w:t>
      </w:r>
    </w:p>
    <w:p w14:paraId="00000092" w14:textId="77777777" w:rsidR="00C97CD1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820"/>
        </w:tabs>
        <w:spacing w:before="36"/>
        <w:ind w:hanging="360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badania (pomiary i próby) instalacji,</w:t>
      </w:r>
    </w:p>
    <w:p w14:paraId="00000093" w14:textId="77777777" w:rsidR="00C97CD1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820"/>
        </w:tabs>
        <w:spacing w:before="35"/>
        <w:ind w:hanging="360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próby rozruchowe.</w:t>
      </w:r>
    </w:p>
    <w:p w14:paraId="00000094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spacing w:before="38"/>
        <w:ind w:left="392" w:right="211"/>
        <w:jc w:val="both"/>
        <w:rPr>
          <w:rFonts w:ascii="Calibri" w:eastAsia="Calibri" w:hAnsi="Calibri" w:cs="Calibri"/>
          <w:color w:val="000000"/>
          <w:sz w:val="24"/>
          <w:szCs w:val="24"/>
        </w:rPr>
        <w:sectPr w:rsidR="00C97CD1">
          <w:headerReference w:type="default" r:id="rId12"/>
          <w:pgSz w:w="11910" w:h="16840"/>
          <w:pgMar w:top="1740" w:right="920" w:bottom="280" w:left="740" w:header="281" w:footer="0" w:gutter="0"/>
          <w:cols w:space="708"/>
        </w:sectPr>
      </w:pPr>
      <w:r>
        <w:rPr>
          <w:rFonts w:ascii="Calibri" w:eastAsia="Calibri" w:hAnsi="Calibri" w:cs="Calibri"/>
          <w:color w:val="000000"/>
          <w:sz w:val="24"/>
          <w:szCs w:val="24"/>
        </w:rPr>
        <w:t>Badania odbiorcze powinny być poświadczone odpowiednimi protokołami. Protokoły z badań (pomiarów i prób), sprawdzeń i odbiorów częściowych należy przedłożyć komisji wyznaczonej przez Zamawiającego w trakcie odbioru.</w:t>
      </w:r>
    </w:p>
    <w:p w14:paraId="00000095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spacing w:before="280"/>
        <w:ind w:left="392" w:right="214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lastRenderedPageBreak/>
        <w:t>Odbiór częściowy polega na sprawdzeniu zgodności z projektem, użyciu właściwych materiałów, prawidłowości zamocowań, połączeń urządzeń oraz zgodności z innymi wymaganiami, przeprowadzonych prób instalacji.</w:t>
      </w:r>
    </w:p>
    <w:p w14:paraId="00000096" w14:textId="77777777" w:rsidR="00C97CD1" w:rsidRDefault="00000000">
      <w:pPr>
        <w:pBdr>
          <w:top w:val="nil"/>
          <w:left w:val="nil"/>
          <w:bottom w:val="nil"/>
          <w:right w:val="nil"/>
          <w:between w:val="nil"/>
        </w:pBdr>
        <w:ind w:left="392" w:right="212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Odbiór końcowy polega na finalnej ocenie rzeczywistego wykonania robót w odniesieniu do ich ilości, jakości i wartości. Odbioru ostatecznego robót dokona komisja wyznaczona przez Zamawiającego w obecności Wykonawcy. Komisja odbierająca roboty dokona ich oceny jakościowej na podstawie przedłożonych dokumentów, w tym dokumentacji powykonawczej, pomiarów oraz ocenie wizualnej.</w:t>
      </w:r>
    </w:p>
    <w:sectPr w:rsidR="00C97CD1">
      <w:headerReference w:type="default" r:id="rId13"/>
      <w:pgSz w:w="11910" w:h="16840"/>
      <w:pgMar w:top="1740" w:right="920" w:bottom="280" w:left="740" w:header="281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9CCBEA2" w14:textId="77777777" w:rsidR="00227E4A" w:rsidRDefault="00227E4A">
      <w:r>
        <w:separator/>
      </w:r>
    </w:p>
  </w:endnote>
  <w:endnote w:type="continuationSeparator" w:id="0">
    <w:p w14:paraId="589E8CA0" w14:textId="77777777" w:rsidR="00227E4A" w:rsidRDefault="00227E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537D30AC-6F81-4DA5-A5F5-1B05F33A809E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2" w:fontKey="{0F952E85-D5E9-4A6F-94C5-EF0EFF65EA66}"/>
    <w:embedItalic r:id="rId3" w:fontKey="{5A493FC8-B530-4D7C-A2E0-8D319546EF29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4" w:fontKey="{12CE4F39-8121-40AE-B306-2D28D8055A35}"/>
    <w:embedBold r:id="rId5" w:fontKey="{851F2150-DC44-47FA-B643-9ECC4B06AE9A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ans">
    <w:panose1 w:val="020B0604020202020204"/>
    <w:charset w:val="EE"/>
    <w:family w:val="swiss"/>
    <w:pitch w:val="variable"/>
    <w:sig w:usb0="E0000AFF" w:usb1="500078FF" w:usb2="00000021" w:usb3="00000000" w:csb0="000001BF" w:csb1="00000000"/>
    <w:embedRegular r:id="rId6" w:fontKey="{6451D44C-24CB-4DBE-9227-5C89F580D5A9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800856C9-C596-44B8-8E25-2CC04004188A}"/>
    <w:embedItalic r:id="rId8" w:fontKey="{09C07558-BD61-44CA-BF9E-5B1806279ADA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9" w:fontKey="{566A5E17-CE43-4AF1-B4F3-76B9765E27E7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BBDE56C" w14:textId="77777777" w:rsidR="00227E4A" w:rsidRDefault="00227E4A">
      <w:r>
        <w:separator/>
      </w:r>
    </w:p>
  </w:footnote>
  <w:footnote w:type="continuationSeparator" w:id="0">
    <w:p w14:paraId="399A36E2" w14:textId="77777777" w:rsidR="00227E4A" w:rsidRDefault="00227E4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000097" w14:textId="77777777" w:rsidR="00C97CD1" w:rsidRDefault="00C97CD1">
    <w:pPr>
      <w:pBdr>
        <w:top w:val="nil"/>
        <w:left w:val="nil"/>
        <w:bottom w:val="nil"/>
        <w:right w:val="nil"/>
        <w:between w:val="nil"/>
      </w:pBdr>
      <w:spacing w:line="14" w:lineRule="auto"/>
      <w:rPr>
        <w:rFonts w:ascii="Calibri" w:eastAsia="Calibri" w:hAnsi="Calibri" w:cs="Calibri"/>
        <w:color w:val="000000"/>
        <w:sz w:val="20"/>
        <w:szCs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000098" w14:textId="77777777" w:rsidR="00C97CD1" w:rsidRDefault="00C97CD1">
    <w:pPr>
      <w:pBdr>
        <w:top w:val="nil"/>
        <w:left w:val="nil"/>
        <w:bottom w:val="nil"/>
        <w:right w:val="nil"/>
        <w:between w:val="nil"/>
      </w:pBdr>
      <w:spacing w:line="14" w:lineRule="auto"/>
      <w:rPr>
        <w:rFonts w:ascii="Calibri" w:eastAsia="Calibri" w:hAnsi="Calibri" w:cs="Calibri"/>
        <w:color w:val="000000"/>
        <w:sz w:val="20"/>
        <w:szCs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000099" w14:textId="77777777" w:rsidR="00C97CD1" w:rsidRDefault="00C97CD1">
    <w:pPr>
      <w:pBdr>
        <w:top w:val="nil"/>
        <w:left w:val="nil"/>
        <w:bottom w:val="nil"/>
        <w:right w:val="nil"/>
        <w:between w:val="nil"/>
      </w:pBdr>
      <w:spacing w:line="14" w:lineRule="auto"/>
      <w:rPr>
        <w:rFonts w:ascii="Calibri" w:eastAsia="Calibri" w:hAnsi="Calibri" w:cs="Calibri"/>
        <w:color w:val="000000"/>
        <w:sz w:val="20"/>
        <w:szCs w:val="20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00009A" w14:textId="77777777" w:rsidR="00C97CD1" w:rsidRDefault="00C97CD1">
    <w:pPr>
      <w:pBdr>
        <w:top w:val="nil"/>
        <w:left w:val="nil"/>
        <w:bottom w:val="nil"/>
        <w:right w:val="nil"/>
        <w:between w:val="nil"/>
      </w:pBdr>
      <w:spacing w:line="14" w:lineRule="auto"/>
      <w:rPr>
        <w:rFonts w:ascii="Calibri" w:eastAsia="Calibri" w:hAnsi="Calibri" w:cs="Calibri"/>
        <w:color w:val="000000"/>
        <w:sz w:val="20"/>
        <w:szCs w:val="20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00009B" w14:textId="77777777" w:rsidR="00C97CD1" w:rsidRDefault="00C97CD1">
    <w:pPr>
      <w:pBdr>
        <w:top w:val="nil"/>
        <w:left w:val="nil"/>
        <w:bottom w:val="nil"/>
        <w:right w:val="nil"/>
        <w:between w:val="nil"/>
      </w:pBdr>
      <w:spacing w:line="14" w:lineRule="auto"/>
      <w:rPr>
        <w:rFonts w:ascii="Calibri" w:eastAsia="Calibri" w:hAnsi="Calibri" w:cs="Calibri"/>
        <w:color w:val="000000"/>
        <w:sz w:val="20"/>
        <w:szCs w:val="20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00009C" w14:textId="77777777" w:rsidR="00C97CD1" w:rsidRDefault="00C97CD1">
    <w:pPr>
      <w:pBdr>
        <w:top w:val="nil"/>
        <w:left w:val="nil"/>
        <w:bottom w:val="nil"/>
        <w:right w:val="nil"/>
        <w:between w:val="nil"/>
      </w:pBdr>
      <w:spacing w:line="14" w:lineRule="auto"/>
      <w:rPr>
        <w:rFonts w:ascii="Calibri" w:eastAsia="Calibri" w:hAnsi="Calibri" w:cs="Calibri"/>
        <w:color w:val="000000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75E640B"/>
    <w:multiLevelType w:val="multilevel"/>
    <w:tmpl w:val="B068F0C0"/>
    <w:lvl w:ilvl="0">
      <w:numFmt w:val="bullet"/>
      <w:lvlText w:val="­"/>
      <w:lvlJc w:val="left"/>
      <w:pPr>
        <w:ind w:left="820" w:hanging="361"/>
      </w:pPr>
      <w:rPr>
        <w:rFonts w:ascii="Courier New" w:eastAsia="Courier New" w:hAnsi="Courier New" w:cs="Courier New"/>
        <w:b w:val="0"/>
        <w:i w:val="0"/>
        <w:sz w:val="24"/>
        <w:szCs w:val="24"/>
      </w:rPr>
    </w:lvl>
    <w:lvl w:ilvl="1">
      <w:numFmt w:val="bullet"/>
      <w:lvlText w:val="•"/>
      <w:lvlJc w:val="left"/>
      <w:pPr>
        <w:ind w:left="1762" w:hanging="361"/>
      </w:pPr>
    </w:lvl>
    <w:lvl w:ilvl="2">
      <w:numFmt w:val="bullet"/>
      <w:lvlText w:val="•"/>
      <w:lvlJc w:val="left"/>
      <w:pPr>
        <w:ind w:left="2705" w:hanging="361"/>
      </w:pPr>
    </w:lvl>
    <w:lvl w:ilvl="3">
      <w:numFmt w:val="bullet"/>
      <w:lvlText w:val="•"/>
      <w:lvlJc w:val="left"/>
      <w:pPr>
        <w:ind w:left="3647" w:hanging="361"/>
      </w:pPr>
    </w:lvl>
    <w:lvl w:ilvl="4">
      <w:numFmt w:val="bullet"/>
      <w:lvlText w:val="•"/>
      <w:lvlJc w:val="left"/>
      <w:pPr>
        <w:ind w:left="4590" w:hanging="361"/>
      </w:pPr>
    </w:lvl>
    <w:lvl w:ilvl="5">
      <w:numFmt w:val="bullet"/>
      <w:lvlText w:val="•"/>
      <w:lvlJc w:val="left"/>
      <w:pPr>
        <w:ind w:left="5533" w:hanging="361"/>
      </w:pPr>
    </w:lvl>
    <w:lvl w:ilvl="6">
      <w:numFmt w:val="bullet"/>
      <w:lvlText w:val="•"/>
      <w:lvlJc w:val="left"/>
      <w:pPr>
        <w:ind w:left="6475" w:hanging="361"/>
      </w:pPr>
    </w:lvl>
    <w:lvl w:ilvl="7">
      <w:numFmt w:val="bullet"/>
      <w:lvlText w:val="•"/>
      <w:lvlJc w:val="left"/>
      <w:pPr>
        <w:ind w:left="7418" w:hanging="361"/>
      </w:pPr>
    </w:lvl>
    <w:lvl w:ilvl="8">
      <w:numFmt w:val="bullet"/>
      <w:lvlText w:val="•"/>
      <w:lvlJc w:val="left"/>
      <w:pPr>
        <w:ind w:left="8361" w:hanging="361"/>
      </w:pPr>
    </w:lvl>
  </w:abstractNum>
  <w:abstractNum w:abstractNumId="1" w15:restartNumberingAfterBreak="0">
    <w:nsid w:val="15C14B78"/>
    <w:multiLevelType w:val="multilevel"/>
    <w:tmpl w:val="F5C2DAB6"/>
    <w:lvl w:ilvl="0">
      <w:numFmt w:val="bullet"/>
      <w:lvlText w:val="-"/>
      <w:lvlJc w:val="left"/>
      <w:pPr>
        <w:ind w:left="959" w:hanging="360"/>
      </w:pPr>
      <w:rPr>
        <w:rFonts w:ascii="Courier New" w:eastAsia="Courier New" w:hAnsi="Courier New" w:cs="Courier New"/>
        <w:b w:val="0"/>
        <w:i w:val="0"/>
        <w:sz w:val="24"/>
        <w:szCs w:val="24"/>
      </w:rPr>
    </w:lvl>
    <w:lvl w:ilvl="1">
      <w:numFmt w:val="bullet"/>
      <w:lvlText w:val="•"/>
      <w:lvlJc w:val="left"/>
      <w:pPr>
        <w:ind w:left="1888" w:hanging="360"/>
      </w:pPr>
    </w:lvl>
    <w:lvl w:ilvl="2">
      <w:numFmt w:val="bullet"/>
      <w:lvlText w:val="•"/>
      <w:lvlJc w:val="left"/>
      <w:pPr>
        <w:ind w:left="2817" w:hanging="360"/>
      </w:pPr>
    </w:lvl>
    <w:lvl w:ilvl="3">
      <w:numFmt w:val="bullet"/>
      <w:lvlText w:val="•"/>
      <w:lvlJc w:val="left"/>
      <w:pPr>
        <w:ind w:left="3745" w:hanging="360"/>
      </w:pPr>
    </w:lvl>
    <w:lvl w:ilvl="4">
      <w:numFmt w:val="bullet"/>
      <w:lvlText w:val="•"/>
      <w:lvlJc w:val="left"/>
      <w:pPr>
        <w:ind w:left="4674" w:hanging="360"/>
      </w:pPr>
    </w:lvl>
    <w:lvl w:ilvl="5">
      <w:numFmt w:val="bullet"/>
      <w:lvlText w:val="•"/>
      <w:lvlJc w:val="left"/>
      <w:pPr>
        <w:ind w:left="5603" w:hanging="360"/>
      </w:pPr>
    </w:lvl>
    <w:lvl w:ilvl="6">
      <w:numFmt w:val="bullet"/>
      <w:lvlText w:val="•"/>
      <w:lvlJc w:val="left"/>
      <w:pPr>
        <w:ind w:left="6531" w:hanging="360"/>
      </w:pPr>
    </w:lvl>
    <w:lvl w:ilvl="7">
      <w:numFmt w:val="bullet"/>
      <w:lvlText w:val="•"/>
      <w:lvlJc w:val="left"/>
      <w:pPr>
        <w:ind w:left="7460" w:hanging="360"/>
      </w:pPr>
    </w:lvl>
    <w:lvl w:ilvl="8">
      <w:numFmt w:val="bullet"/>
      <w:lvlText w:val="•"/>
      <w:lvlJc w:val="left"/>
      <w:pPr>
        <w:ind w:left="8389" w:hanging="360"/>
      </w:pPr>
    </w:lvl>
  </w:abstractNum>
  <w:abstractNum w:abstractNumId="2" w15:restartNumberingAfterBreak="0">
    <w:nsid w:val="3DA94BC7"/>
    <w:multiLevelType w:val="multilevel"/>
    <w:tmpl w:val="9E50F9FE"/>
    <w:lvl w:ilvl="0">
      <w:numFmt w:val="bullet"/>
      <w:lvlText w:val="­"/>
      <w:lvlJc w:val="left"/>
      <w:pPr>
        <w:ind w:left="1113" w:hanging="360"/>
      </w:pPr>
      <w:rPr>
        <w:rFonts w:ascii="Courier New" w:eastAsia="Courier New" w:hAnsi="Courier New" w:cs="Courier New"/>
        <w:b w:val="0"/>
        <w:i w:val="0"/>
        <w:sz w:val="24"/>
        <w:szCs w:val="24"/>
      </w:rPr>
    </w:lvl>
    <w:lvl w:ilvl="1">
      <w:numFmt w:val="bullet"/>
      <w:lvlText w:val="•"/>
      <w:lvlJc w:val="left"/>
      <w:pPr>
        <w:ind w:left="2032" w:hanging="360"/>
      </w:pPr>
    </w:lvl>
    <w:lvl w:ilvl="2">
      <w:numFmt w:val="bullet"/>
      <w:lvlText w:val="•"/>
      <w:lvlJc w:val="left"/>
      <w:pPr>
        <w:ind w:left="2945" w:hanging="360"/>
      </w:pPr>
    </w:lvl>
    <w:lvl w:ilvl="3">
      <w:numFmt w:val="bullet"/>
      <w:lvlText w:val="•"/>
      <w:lvlJc w:val="left"/>
      <w:pPr>
        <w:ind w:left="3857" w:hanging="360"/>
      </w:pPr>
    </w:lvl>
    <w:lvl w:ilvl="4">
      <w:numFmt w:val="bullet"/>
      <w:lvlText w:val="•"/>
      <w:lvlJc w:val="left"/>
      <w:pPr>
        <w:ind w:left="4770" w:hanging="360"/>
      </w:pPr>
    </w:lvl>
    <w:lvl w:ilvl="5">
      <w:numFmt w:val="bullet"/>
      <w:lvlText w:val="•"/>
      <w:lvlJc w:val="left"/>
      <w:pPr>
        <w:ind w:left="5683" w:hanging="360"/>
      </w:pPr>
    </w:lvl>
    <w:lvl w:ilvl="6">
      <w:numFmt w:val="bullet"/>
      <w:lvlText w:val="•"/>
      <w:lvlJc w:val="left"/>
      <w:pPr>
        <w:ind w:left="6595" w:hanging="360"/>
      </w:pPr>
    </w:lvl>
    <w:lvl w:ilvl="7">
      <w:numFmt w:val="bullet"/>
      <w:lvlText w:val="•"/>
      <w:lvlJc w:val="left"/>
      <w:pPr>
        <w:ind w:left="7508" w:hanging="360"/>
      </w:pPr>
    </w:lvl>
    <w:lvl w:ilvl="8">
      <w:numFmt w:val="bullet"/>
      <w:lvlText w:val="•"/>
      <w:lvlJc w:val="left"/>
      <w:pPr>
        <w:ind w:left="8421" w:hanging="360"/>
      </w:pPr>
    </w:lvl>
  </w:abstractNum>
  <w:abstractNum w:abstractNumId="3" w15:restartNumberingAfterBreak="0">
    <w:nsid w:val="3FA67A4A"/>
    <w:multiLevelType w:val="multilevel"/>
    <w:tmpl w:val="7B76C75C"/>
    <w:lvl w:ilvl="0">
      <w:numFmt w:val="bullet"/>
      <w:lvlText w:val="-"/>
      <w:lvlJc w:val="left"/>
      <w:pPr>
        <w:ind w:left="820" w:hanging="361"/>
      </w:pPr>
      <w:rPr>
        <w:rFonts w:ascii="Courier New" w:eastAsia="Courier New" w:hAnsi="Courier New" w:cs="Courier New"/>
        <w:b w:val="0"/>
        <w:i w:val="0"/>
        <w:sz w:val="24"/>
        <w:szCs w:val="24"/>
      </w:rPr>
    </w:lvl>
    <w:lvl w:ilvl="1">
      <w:numFmt w:val="bullet"/>
      <w:lvlText w:val="▪"/>
      <w:lvlJc w:val="left"/>
      <w:pPr>
        <w:ind w:left="959" w:hanging="360"/>
      </w:pPr>
      <w:rPr>
        <w:rFonts w:ascii="Noto Sans Symbols" w:eastAsia="Noto Sans Symbols" w:hAnsi="Noto Sans Symbols" w:cs="Noto Sans Symbols"/>
        <w:b w:val="0"/>
        <w:i w:val="0"/>
        <w:sz w:val="24"/>
        <w:szCs w:val="24"/>
      </w:rPr>
    </w:lvl>
    <w:lvl w:ilvl="2">
      <w:numFmt w:val="bullet"/>
      <w:lvlText w:val="•"/>
      <w:lvlJc w:val="left"/>
      <w:pPr>
        <w:ind w:left="1991" w:hanging="360"/>
      </w:pPr>
    </w:lvl>
    <w:lvl w:ilvl="3">
      <w:numFmt w:val="bullet"/>
      <w:lvlText w:val="•"/>
      <w:lvlJc w:val="left"/>
      <w:pPr>
        <w:ind w:left="3023" w:hanging="360"/>
      </w:pPr>
    </w:lvl>
    <w:lvl w:ilvl="4">
      <w:numFmt w:val="bullet"/>
      <w:lvlText w:val="•"/>
      <w:lvlJc w:val="left"/>
      <w:pPr>
        <w:ind w:left="4055" w:hanging="360"/>
      </w:pPr>
    </w:lvl>
    <w:lvl w:ilvl="5">
      <w:numFmt w:val="bullet"/>
      <w:lvlText w:val="•"/>
      <w:lvlJc w:val="left"/>
      <w:pPr>
        <w:ind w:left="5087" w:hanging="360"/>
      </w:pPr>
    </w:lvl>
    <w:lvl w:ilvl="6">
      <w:numFmt w:val="bullet"/>
      <w:lvlText w:val="•"/>
      <w:lvlJc w:val="left"/>
      <w:pPr>
        <w:ind w:left="6119" w:hanging="360"/>
      </w:pPr>
    </w:lvl>
    <w:lvl w:ilvl="7">
      <w:numFmt w:val="bullet"/>
      <w:lvlText w:val="•"/>
      <w:lvlJc w:val="left"/>
      <w:pPr>
        <w:ind w:left="7150" w:hanging="360"/>
      </w:pPr>
    </w:lvl>
    <w:lvl w:ilvl="8">
      <w:numFmt w:val="bullet"/>
      <w:lvlText w:val="•"/>
      <w:lvlJc w:val="left"/>
      <w:pPr>
        <w:ind w:left="8182" w:hanging="360"/>
      </w:pPr>
    </w:lvl>
  </w:abstractNum>
  <w:abstractNum w:abstractNumId="4" w15:restartNumberingAfterBreak="0">
    <w:nsid w:val="40F256DE"/>
    <w:multiLevelType w:val="multilevel"/>
    <w:tmpl w:val="7D362324"/>
    <w:lvl w:ilvl="0">
      <w:start w:val="1"/>
      <w:numFmt w:val="decimal"/>
      <w:lvlText w:val="%1"/>
      <w:lvlJc w:val="left"/>
      <w:pPr>
        <w:ind w:left="853" w:hanging="461"/>
      </w:pPr>
    </w:lvl>
    <w:lvl w:ilvl="1">
      <w:start w:val="1"/>
      <w:numFmt w:val="decimal"/>
      <w:lvlText w:val="%1.%2."/>
      <w:lvlJc w:val="left"/>
      <w:pPr>
        <w:ind w:left="853" w:hanging="461"/>
      </w:pPr>
      <w:rPr>
        <w:rFonts w:ascii="Calibri" w:eastAsia="Calibri" w:hAnsi="Calibri" w:cs="Calibri"/>
        <w:b w:val="0"/>
        <w:i w:val="0"/>
        <w:sz w:val="24"/>
        <w:szCs w:val="24"/>
      </w:rPr>
    </w:lvl>
    <w:lvl w:ilvl="2">
      <w:numFmt w:val="bullet"/>
      <w:lvlText w:val="-"/>
      <w:lvlJc w:val="left"/>
      <w:pPr>
        <w:ind w:left="959" w:hanging="356"/>
      </w:pPr>
      <w:rPr>
        <w:rFonts w:ascii="Courier New" w:eastAsia="Courier New" w:hAnsi="Courier New" w:cs="Courier New"/>
        <w:b w:val="0"/>
        <w:i w:val="0"/>
        <w:sz w:val="24"/>
        <w:szCs w:val="24"/>
      </w:rPr>
    </w:lvl>
    <w:lvl w:ilvl="3">
      <w:numFmt w:val="bullet"/>
      <w:lvlText w:val="•"/>
      <w:lvlJc w:val="left"/>
      <w:pPr>
        <w:ind w:left="3023" w:hanging="356"/>
      </w:pPr>
    </w:lvl>
    <w:lvl w:ilvl="4">
      <w:numFmt w:val="bullet"/>
      <w:lvlText w:val="•"/>
      <w:lvlJc w:val="left"/>
      <w:pPr>
        <w:ind w:left="4055" w:hanging="356"/>
      </w:pPr>
    </w:lvl>
    <w:lvl w:ilvl="5">
      <w:numFmt w:val="bullet"/>
      <w:lvlText w:val="•"/>
      <w:lvlJc w:val="left"/>
      <w:pPr>
        <w:ind w:left="5087" w:hanging="356"/>
      </w:pPr>
    </w:lvl>
    <w:lvl w:ilvl="6">
      <w:numFmt w:val="bullet"/>
      <w:lvlText w:val="•"/>
      <w:lvlJc w:val="left"/>
      <w:pPr>
        <w:ind w:left="6119" w:hanging="356"/>
      </w:pPr>
    </w:lvl>
    <w:lvl w:ilvl="7">
      <w:numFmt w:val="bullet"/>
      <w:lvlText w:val="•"/>
      <w:lvlJc w:val="left"/>
      <w:pPr>
        <w:ind w:left="7150" w:hanging="356"/>
      </w:pPr>
    </w:lvl>
    <w:lvl w:ilvl="8">
      <w:numFmt w:val="bullet"/>
      <w:lvlText w:val="•"/>
      <w:lvlJc w:val="left"/>
      <w:pPr>
        <w:ind w:left="8182" w:hanging="356"/>
      </w:pPr>
    </w:lvl>
  </w:abstractNum>
  <w:abstractNum w:abstractNumId="5" w15:restartNumberingAfterBreak="0">
    <w:nsid w:val="5737285D"/>
    <w:multiLevelType w:val="multilevel"/>
    <w:tmpl w:val="6A8E6B64"/>
    <w:lvl w:ilvl="0">
      <w:start w:val="4"/>
      <w:numFmt w:val="decimal"/>
      <w:lvlText w:val="%1."/>
      <w:lvlJc w:val="left"/>
      <w:pPr>
        <w:ind w:left="623" w:hanging="231"/>
      </w:pPr>
      <w:rPr>
        <w:rFonts w:ascii="Calibri" w:eastAsia="Calibri" w:hAnsi="Calibri" w:cs="Calibri"/>
        <w:b w:val="0"/>
        <w:i w:val="0"/>
        <w:sz w:val="24"/>
        <w:szCs w:val="24"/>
      </w:rPr>
    </w:lvl>
    <w:lvl w:ilvl="1">
      <w:start w:val="1"/>
      <w:numFmt w:val="decimal"/>
      <w:lvlText w:val="%1.%2."/>
      <w:lvlJc w:val="left"/>
      <w:pPr>
        <w:ind w:left="800" w:hanging="408"/>
      </w:pPr>
      <w:rPr>
        <w:rFonts w:ascii="Calibri" w:eastAsia="Calibri" w:hAnsi="Calibri" w:cs="Calibri"/>
        <w:b w:val="0"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987" w:hanging="595"/>
      </w:pPr>
      <w:rPr>
        <w:rFonts w:ascii="Calibri" w:eastAsia="Calibri" w:hAnsi="Calibri" w:cs="Calibri"/>
        <w:b w:val="0"/>
        <w:i w:val="0"/>
        <w:sz w:val="24"/>
        <w:szCs w:val="24"/>
      </w:rPr>
    </w:lvl>
    <w:lvl w:ilvl="3">
      <w:numFmt w:val="bullet"/>
      <w:lvlText w:val="-"/>
      <w:lvlJc w:val="left"/>
      <w:pPr>
        <w:ind w:left="959" w:hanging="360"/>
      </w:pPr>
      <w:rPr>
        <w:rFonts w:ascii="Courier New" w:eastAsia="Courier New" w:hAnsi="Courier New" w:cs="Courier New"/>
        <w:b w:val="0"/>
        <w:i w:val="0"/>
        <w:sz w:val="24"/>
        <w:szCs w:val="24"/>
      </w:rPr>
    </w:lvl>
    <w:lvl w:ilvl="4">
      <w:numFmt w:val="bullet"/>
      <w:lvlText w:val="•"/>
      <w:lvlJc w:val="left"/>
      <w:pPr>
        <w:ind w:left="2303" w:hanging="360"/>
      </w:pPr>
    </w:lvl>
    <w:lvl w:ilvl="5">
      <w:numFmt w:val="bullet"/>
      <w:lvlText w:val="•"/>
      <w:lvlJc w:val="left"/>
      <w:pPr>
        <w:ind w:left="3627" w:hanging="360"/>
      </w:pPr>
    </w:lvl>
    <w:lvl w:ilvl="6">
      <w:numFmt w:val="bullet"/>
      <w:lvlText w:val="•"/>
      <w:lvlJc w:val="left"/>
      <w:pPr>
        <w:ind w:left="4951" w:hanging="360"/>
      </w:pPr>
    </w:lvl>
    <w:lvl w:ilvl="7">
      <w:numFmt w:val="bullet"/>
      <w:lvlText w:val="•"/>
      <w:lvlJc w:val="left"/>
      <w:pPr>
        <w:ind w:left="6275" w:hanging="360"/>
      </w:pPr>
    </w:lvl>
    <w:lvl w:ilvl="8">
      <w:numFmt w:val="bullet"/>
      <w:lvlText w:val="•"/>
      <w:lvlJc w:val="left"/>
      <w:pPr>
        <w:ind w:left="7598" w:hanging="360"/>
      </w:pPr>
    </w:lvl>
  </w:abstractNum>
  <w:abstractNum w:abstractNumId="6" w15:restartNumberingAfterBreak="0">
    <w:nsid w:val="60E44710"/>
    <w:multiLevelType w:val="multilevel"/>
    <w:tmpl w:val="CE86AADC"/>
    <w:lvl w:ilvl="0">
      <w:start w:val="2"/>
      <w:numFmt w:val="decimal"/>
      <w:lvlText w:val="%1."/>
      <w:lvlJc w:val="left"/>
      <w:pPr>
        <w:ind w:left="623" w:hanging="231"/>
      </w:pPr>
      <w:rPr>
        <w:rFonts w:ascii="Calibri" w:eastAsia="Calibri" w:hAnsi="Calibri" w:cs="Calibri"/>
        <w:b w:val="0"/>
        <w:i w:val="0"/>
        <w:sz w:val="24"/>
        <w:szCs w:val="24"/>
      </w:rPr>
    </w:lvl>
    <w:lvl w:ilvl="1">
      <w:start w:val="1"/>
      <w:numFmt w:val="decimal"/>
      <w:lvlText w:val="%1.%2."/>
      <w:lvlJc w:val="left"/>
      <w:pPr>
        <w:ind w:left="853" w:hanging="461"/>
      </w:pPr>
      <w:rPr>
        <w:rFonts w:ascii="Calibri" w:eastAsia="Calibri" w:hAnsi="Calibri" w:cs="Calibri"/>
        <w:b w:val="0"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101" w:hanging="596"/>
      </w:pPr>
      <w:rPr>
        <w:rFonts w:ascii="Calibri" w:eastAsia="Calibri" w:hAnsi="Calibri" w:cs="Calibri"/>
        <w:b w:val="0"/>
        <w:i w:val="0"/>
        <w:sz w:val="24"/>
        <w:szCs w:val="24"/>
      </w:rPr>
    </w:lvl>
    <w:lvl w:ilvl="3">
      <w:numFmt w:val="bullet"/>
      <w:lvlText w:val="-"/>
      <w:lvlJc w:val="left"/>
      <w:pPr>
        <w:ind w:left="1526" w:hanging="360"/>
      </w:pPr>
      <w:rPr>
        <w:rFonts w:ascii="Courier New" w:eastAsia="Courier New" w:hAnsi="Courier New" w:cs="Courier New"/>
        <w:b w:val="0"/>
        <w:i w:val="0"/>
        <w:sz w:val="24"/>
        <w:szCs w:val="24"/>
      </w:rPr>
    </w:lvl>
    <w:lvl w:ilvl="4">
      <w:numFmt w:val="bullet"/>
      <w:lvlText w:val="•"/>
      <w:lvlJc w:val="left"/>
      <w:pPr>
        <w:ind w:left="2766" w:hanging="360"/>
      </w:pPr>
    </w:lvl>
    <w:lvl w:ilvl="5">
      <w:numFmt w:val="bullet"/>
      <w:lvlText w:val="•"/>
      <w:lvlJc w:val="left"/>
      <w:pPr>
        <w:ind w:left="4013" w:hanging="360"/>
      </w:pPr>
    </w:lvl>
    <w:lvl w:ilvl="6">
      <w:numFmt w:val="bullet"/>
      <w:lvlText w:val="•"/>
      <w:lvlJc w:val="left"/>
      <w:pPr>
        <w:ind w:left="5259" w:hanging="360"/>
      </w:pPr>
    </w:lvl>
    <w:lvl w:ilvl="7">
      <w:numFmt w:val="bullet"/>
      <w:lvlText w:val="•"/>
      <w:lvlJc w:val="left"/>
      <w:pPr>
        <w:ind w:left="6506" w:hanging="360"/>
      </w:pPr>
    </w:lvl>
    <w:lvl w:ilvl="8">
      <w:numFmt w:val="bullet"/>
      <w:lvlText w:val="•"/>
      <w:lvlJc w:val="left"/>
      <w:pPr>
        <w:ind w:left="7753" w:hanging="360"/>
      </w:pPr>
    </w:lvl>
  </w:abstractNum>
  <w:num w:numId="1" w16cid:durableId="1871986877">
    <w:abstractNumId w:val="2"/>
  </w:num>
  <w:num w:numId="2" w16cid:durableId="1467550047">
    <w:abstractNumId w:val="5"/>
  </w:num>
  <w:num w:numId="3" w16cid:durableId="484707593">
    <w:abstractNumId w:val="6"/>
  </w:num>
  <w:num w:numId="4" w16cid:durableId="1228228254">
    <w:abstractNumId w:val="4"/>
  </w:num>
  <w:num w:numId="5" w16cid:durableId="2072073710">
    <w:abstractNumId w:val="0"/>
  </w:num>
  <w:num w:numId="6" w16cid:durableId="35741312">
    <w:abstractNumId w:val="3"/>
  </w:num>
  <w:num w:numId="7" w16cid:durableId="111733125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97CD1"/>
    <w:rsid w:val="000E7EFF"/>
    <w:rsid w:val="001568A9"/>
    <w:rsid w:val="00227E4A"/>
    <w:rsid w:val="00243EEC"/>
    <w:rsid w:val="00381FF9"/>
    <w:rsid w:val="005C70AF"/>
    <w:rsid w:val="008B53BD"/>
    <w:rsid w:val="00C97CD1"/>
    <w:rsid w:val="00D624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C9FD4E"/>
  <w15:docId w15:val="{7D84B65D-206E-4373-9ADF-EDC5695156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rFonts w:ascii="Calibri Light" w:eastAsia="Calibri Light" w:hAnsi="Calibri Light" w:cs="Calibri Light"/>
      <w:lang w:eastAsia="en-US"/>
    </w:rPr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uiPriority w:val="1"/>
    <w:qFormat/>
    <w:pPr>
      <w:ind w:left="392"/>
    </w:pPr>
    <w:rPr>
      <w:sz w:val="24"/>
      <w:szCs w:val="24"/>
    </w:rPr>
  </w:style>
  <w:style w:type="paragraph" w:styleId="Akapitzlist">
    <w:name w:val="List Paragraph"/>
    <w:basedOn w:val="Normalny"/>
    <w:uiPriority w:val="1"/>
    <w:qFormat/>
    <w:pPr>
      <w:ind w:left="958" w:hanging="359"/>
    </w:pPr>
  </w:style>
  <w:style w:type="paragraph" w:customStyle="1" w:styleId="TableParagraph">
    <w:name w:val="Table Paragraph"/>
    <w:basedOn w:val="Normalny"/>
    <w:uiPriority w:val="1"/>
    <w:qFormat/>
    <w:pPr>
      <w:ind w:left="15"/>
    </w:pPr>
    <w:rPr>
      <w:rFonts w:ascii="Liberation Sans" w:eastAsia="Liberation Sans" w:hAnsi="Liberation Sans" w:cs="Liberation San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6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5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4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L93YVOMwpxgZGvWPpnnRLqAivTA==">CgMxLjA4AHIhMTNaOFA4NXc1Z29pRHZsMXgyRHdTdTVmaGZ2bUpQN3VW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7</Pages>
  <Words>1954</Words>
  <Characters>11728</Characters>
  <Application>Microsoft Office Word</Application>
  <DocSecurity>0</DocSecurity>
  <Lines>97</Lines>
  <Paragraphs>27</Paragraphs>
  <ScaleCrop>false</ScaleCrop>
  <Company/>
  <LinksUpToDate>false</LinksUpToDate>
  <CharactersWithSpaces>13655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DM02</dc:creator>
  <cp:lastModifiedBy>marcin kawaler</cp:lastModifiedBy>
  <cp:revision>4</cp:revision>
  <dcterms:created xsi:type="dcterms:W3CDTF">2024-11-05T08:06:00Z</dcterms:created>
  <dcterms:modified xsi:type="dcterms:W3CDTF">2024-11-05T08:27:00Z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lpwstr>2024-03-20T00:00:00Z</vt:lpwstr>
  </property>
  <property fmtid="{D5CDD505-2E9C-101B-9397-08002B2CF9AE}" pid="3" name="Creator">
    <vt:lpwstr>Microsoft® Word 2013</vt:lpwstr>
  </property>
  <property fmtid="{D5CDD505-2E9C-101B-9397-08002B2CF9AE}" pid="4" name="LastSaved">
    <vt:lpwstr>2024-10-21T00:00:00Z</vt:lpwstr>
  </property>
  <property fmtid="{D5CDD505-2E9C-101B-9397-08002B2CF9AE}" pid="5" name="Producer">
    <vt:lpwstr>Microsoft® Word 2013</vt:lpwstr>
  </property>
</Properties>
</file>