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CD2BE" w14:textId="77777777" w:rsidR="0084378D" w:rsidRDefault="0084378D" w:rsidP="0084378D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A7C053E" w14:textId="4627246A" w:rsidR="0084378D" w:rsidRPr="0084378D" w:rsidRDefault="0084378D" w:rsidP="0084378D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84378D">
        <w:rPr>
          <w:rFonts w:asciiTheme="minorHAnsi" w:eastAsia="Calibri" w:hAnsiTheme="minorHAnsi" w:cstheme="minorHAnsi"/>
          <w:b/>
          <w:sz w:val="22"/>
          <w:szCs w:val="22"/>
        </w:rPr>
        <w:t>Załącznik nr 2 Formularz oferty</w:t>
      </w:r>
      <w:r w:rsidRPr="0084378D">
        <w:rPr>
          <w:rFonts w:asciiTheme="minorHAnsi" w:eastAsia="Calibri" w:hAnsiTheme="minorHAnsi" w:cstheme="minorHAnsi"/>
          <w:sz w:val="22"/>
          <w:szCs w:val="22"/>
        </w:rPr>
        <w:tab/>
      </w:r>
    </w:p>
    <w:p w14:paraId="52E1D9A3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................................, dnia ..................</w:t>
      </w:r>
    </w:p>
    <w:p w14:paraId="3D67324F" w14:textId="77777777" w:rsidR="0084378D" w:rsidRPr="0084378D" w:rsidRDefault="0084378D" w:rsidP="0084378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4378D">
        <w:rPr>
          <w:rFonts w:asciiTheme="minorHAnsi" w:hAnsiTheme="minorHAnsi" w:cstheme="minorHAnsi"/>
          <w:i/>
          <w:color w:val="000000" w:themeColor="text1"/>
          <w:sz w:val="16"/>
          <w:szCs w:val="16"/>
        </w:rPr>
        <w:tab/>
        <w:t>/miejscowość, data/</w:t>
      </w:r>
    </w:p>
    <w:p w14:paraId="3B01D059" w14:textId="77777777" w:rsidR="0084378D" w:rsidRPr="0084378D" w:rsidRDefault="0084378D" w:rsidP="0084378D">
      <w:pPr>
        <w:tabs>
          <w:tab w:val="left" w:pos="6480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4378D">
        <w:rPr>
          <w:rFonts w:asciiTheme="minorHAnsi" w:eastAsia="Calibri" w:hAnsiTheme="minorHAnsi" w:cstheme="minorHAns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84378D" w:rsidRPr="0084378D" w14:paraId="322EC419" w14:textId="77777777" w:rsidTr="00315D0B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A2C364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84378D" w:rsidRPr="0084378D" w14:paraId="7809137C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5B4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D52F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593C7094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D6AB8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3D342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2D2EABAB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7C34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F2C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42B2A317" w14:textId="77777777" w:rsidTr="00315D0B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C891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3827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D0935A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1BD29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36266643" w14:textId="77777777" w:rsidTr="00315D0B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2770FC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84378D" w:rsidRPr="0084378D" w14:paraId="04F319E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DF5B3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BA4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4378D" w:rsidRPr="0084378D" w14:paraId="00FEA95E" w14:textId="77777777" w:rsidTr="00315D0B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67FE5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D57C7D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58A78" w14:textId="77777777" w:rsidR="0084378D" w:rsidRPr="0084378D" w:rsidRDefault="0084378D" w:rsidP="00315D0B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78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6E0D3E" w14:textId="77777777" w:rsidR="0084378D" w:rsidRPr="0084378D" w:rsidRDefault="0084378D" w:rsidP="00315D0B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4B42436" w14:textId="77777777" w:rsidR="0084378D" w:rsidRPr="0084378D" w:rsidRDefault="0084378D" w:rsidP="0084378D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DDDF3C6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Ja (my) niżej </w:t>
      </w:r>
      <w:proofErr w:type="spellStart"/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podpisan</w:t>
      </w:r>
      <w:proofErr w:type="spellEnd"/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(i):</w:t>
      </w:r>
    </w:p>
    <w:p w14:paraId="56DDD529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</w:p>
    <w:p w14:paraId="174764C2" w14:textId="77777777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Zapoznałem(liśmy) się z treścią zapytania ofertowego dla niniejszego zamówienia i uznaję(</w:t>
      </w:r>
      <w:proofErr w:type="spellStart"/>
      <w:r w:rsidRPr="0084378D">
        <w:rPr>
          <w:rFonts w:asciiTheme="minorHAnsi" w:hAnsiTheme="minorHAnsi" w:cstheme="minorHAnsi"/>
          <w:sz w:val="22"/>
          <w:szCs w:val="22"/>
          <w:lang w:eastAsia="pl-PL"/>
        </w:rPr>
        <w:t>emy</w:t>
      </w:r>
      <w:proofErr w:type="spellEnd"/>
      <w:r w:rsidRPr="0084378D">
        <w:rPr>
          <w:rFonts w:asciiTheme="minorHAnsi" w:hAnsiTheme="minorHAnsi" w:cstheme="minorHAnsi"/>
          <w:sz w:val="22"/>
          <w:szCs w:val="22"/>
          <w:lang w:eastAsia="pl-PL"/>
        </w:rPr>
        <w:t>) się za związanego(</w:t>
      </w:r>
      <w:proofErr w:type="spellStart"/>
      <w:r w:rsidRPr="0084378D">
        <w:rPr>
          <w:rFonts w:asciiTheme="minorHAnsi" w:hAnsiTheme="minorHAnsi" w:cstheme="minorHAnsi"/>
          <w:sz w:val="22"/>
          <w:szCs w:val="22"/>
          <w:lang w:eastAsia="pl-PL"/>
        </w:rPr>
        <w:t>nych</w:t>
      </w:r>
      <w:proofErr w:type="spellEnd"/>
      <w:r w:rsidRPr="0084378D">
        <w:rPr>
          <w:rFonts w:asciiTheme="minorHAnsi" w:hAnsiTheme="minorHAnsi" w:cstheme="minorHAnsi"/>
          <w:sz w:val="22"/>
          <w:szCs w:val="22"/>
          <w:lang w:eastAsia="pl-PL"/>
        </w:rPr>
        <w:t>) określonymi w nim zasadami postępowania - w terminach i pod warunkami w nim określonymi;</w:t>
      </w:r>
    </w:p>
    <w:p w14:paraId="28F1184E" w14:textId="77777777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Oferuję(</w:t>
      </w:r>
      <w:proofErr w:type="spellStart"/>
      <w:r w:rsidRPr="0084378D">
        <w:rPr>
          <w:rFonts w:asciiTheme="minorHAnsi" w:hAnsiTheme="minorHAnsi" w:cstheme="minorHAnsi"/>
          <w:sz w:val="22"/>
          <w:szCs w:val="22"/>
          <w:lang w:eastAsia="pl-PL"/>
        </w:rPr>
        <w:t>emy</w:t>
      </w:r>
      <w:proofErr w:type="spellEnd"/>
      <w:r w:rsidRPr="0084378D">
        <w:rPr>
          <w:rFonts w:asciiTheme="minorHAnsi" w:hAnsiTheme="minorHAnsi" w:cstheme="minorHAnsi"/>
          <w:sz w:val="22"/>
          <w:szCs w:val="22"/>
          <w:lang w:eastAsia="pl-PL"/>
        </w:rPr>
        <w:t>) i gwarantuję(</w:t>
      </w:r>
      <w:proofErr w:type="spellStart"/>
      <w:r w:rsidRPr="0084378D">
        <w:rPr>
          <w:rFonts w:asciiTheme="minorHAnsi" w:hAnsiTheme="minorHAnsi" w:cstheme="minorHAnsi"/>
          <w:sz w:val="22"/>
          <w:szCs w:val="22"/>
          <w:lang w:eastAsia="pl-PL"/>
        </w:rPr>
        <w:t>emy</w:t>
      </w:r>
      <w:proofErr w:type="spellEnd"/>
      <w:r w:rsidRPr="0084378D">
        <w:rPr>
          <w:rFonts w:asciiTheme="minorHAnsi" w:hAnsiTheme="minorHAnsi" w:cstheme="minorHAnsi"/>
          <w:sz w:val="22"/>
          <w:szCs w:val="22"/>
          <w:lang w:eastAsia="pl-PL"/>
        </w:rPr>
        <w:t>) wykonanie zamówienia zgodnie z treścią zapytania ofertowego;</w:t>
      </w:r>
    </w:p>
    <w:p w14:paraId="443E3A28" w14:textId="77777777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W przypadku uznania mojej(naszej) oferty za najkorzystniejszą, umowę zobowiązuję(</w:t>
      </w:r>
      <w:proofErr w:type="spellStart"/>
      <w:r w:rsidRPr="0084378D">
        <w:rPr>
          <w:rFonts w:asciiTheme="minorHAnsi" w:hAnsiTheme="minorHAnsi" w:cstheme="minorHAnsi"/>
          <w:sz w:val="22"/>
          <w:szCs w:val="22"/>
          <w:lang w:eastAsia="pl-PL"/>
        </w:rPr>
        <w:t>emy</w:t>
      </w:r>
      <w:proofErr w:type="spellEnd"/>
      <w:r w:rsidRPr="0084378D">
        <w:rPr>
          <w:rFonts w:asciiTheme="minorHAnsi" w:hAnsiTheme="minorHAnsi" w:cstheme="minorHAnsi"/>
          <w:sz w:val="22"/>
          <w:szCs w:val="22"/>
          <w:lang w:eastAsia="pl-PL"/>
        </w:rPr>
        <w:t>) się zawrzeć w miejscu i terminie wskazanym przez Zamawiającego;</w:t>
      </w:r>
    </w:p>
    <w:p w14:paraId="2249F7DC" w14:textId="77777777" w:rsidR="0084378D" w:rsidRPr="0084378D" w:rsidRDefault="0084378D" w:rsidP="0084378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sz w:val="22"/>
          <w:szCs w:val="22"/>
          <w:lang w:eastAsia="pl-PL"/>
        </w:rPr>
        <w:t>Cena oferty za realizację niniejszego zamówienia wynosi:</w:t>
      </w:r>
    </w:p>
    <w:p w14:paraId="0AB678E9" w14:textId="77777777" w:rsidR="0084378D" w:rsidRPr="0084378D" w:rsidRDefault="0084378D" w:rsidP="0084378D">
      <w:p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4928C9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9629" w:type="dxa"/>
        <w:tblLayout w:type="fixed"/>
        <w:tblLook w:val="04A0" w:firstRow="1" w:lastRow="0" w:firstColumn="1" w:lastColumn="0" w:noHBand="0" w:noVBand="1"/>
      </w:tblPr>
      <w:tblGrid>
        <w:gridCol w:w="5665"/>
        <w:gridCol w:w="1985"/>
        <w:gridCol w:w="1979"/>
      </w:tblGrid>
      <w:tr w:rsidR="0084378D" w:rsidRPr="0084378D" w14:paraId="156A3754" w14:textId="77777777" w:rsidTr="00315D0B">
        <w:tc>
          <w:tcPr>
            <w:tcW w:w="5665" w:type="dxa"/>
            <w:hideMark/>
          </w:tcPr>
          <w:p w14:paraId="32AE6BF4" w14:textId="77777777" w:rsidR="0084378D" w:rsidRPr="0084378D" w:rsidRDefault="0084378D" w:rsidP="00315D0B">
            <w:pPr>
              <w:autoSpaceDE w:val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985" w:type="dxa"/>
            <w:hideMark/>
          </w:tcPr>
          <w:p w14:paraId="68704DAC" w14:textId="77777777" w:rsidR="0084378D" w:rsidRPr="0084378D" w:rsidRDefault="0084378D" w:rsidP="00315D0B">
            <w:pPr>
              <w:autoSpaceDE w:val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1979" w:type="dxa"/>
            <w:hideMark/>
          </w:tcPr>
          <w:p w14:paraId="3760BE1D" w14:textId="77777777" w:rsidR="0084378D" w:rsidRPr="0084378D" w:rsidRDefault="0084378D" w:rsidP="00315D0B">
            <w:pPr>
              <w:autoSpaceDE w:val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  <w:tr w:rsidR="0084378D" w:rsidRPr="0084378D" w14:paraId="37EF2E0F" w14:textId="77777777" w:rsidTr="00315D0B">
        <w:tc>
          <w:tcPr>
            <w:tcW w:w="5665" w:type="dxa"/>
          </w:tcPr>
          <w:p w14:paraId="26D94E5C" w14:textId="77777777" w:rsidR="0084378D" w:rsidRPr="0084378D" w:rsidRDefault="0084378D" w:rsidP="00315D0B">
            <w:pPr>
              <w:autoSpaceDE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84378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985" w:type="dxa"/>
          </w:tcPr>
          <w:p w14:paraId="799FE5C7" w14:textId="77777777" w:rsidR="0084378D" w:rsidRPr="0084378D" w:rsidRDefault="0084378D" w:rsidP="00315D0B">
            <w:pPr>
              <w:shd w:val="clear" w:color="auto" w:fill="FFFFFF"/>
              <w:ind w:left="34" w:right="175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84378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Wartość oferty netto PLN</w:t>
            </w:r>
          </w:p>
        </w:tc>
        <w:tc>
          <w:tcPr>
            <w:tcW w:w="1979" w:type="dxa"/>
          </w:tcPr>
          <w:p w14:paraId="063EF2A4" w14:textId="77777777" w:rsidR="0084378D" w:rsidRPr="0084378D" w:rsidRDefault="0084378D" w:rsidP="00315D0B">
            <w:pPr>
              <w:autoSpaceDE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84378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Wartość oferty brutto PLN</w:t>
            </w:r>
          </w:p>
        </w:tc>
      </w:tr>
      <w:tr w:rsidR="0084378D" w:rsidRPr="0084378D" w14:paraId="399DA0DF" w14:textId="77777777" w:rsidTr="00315D0B">
        <w:tc>
          <w:tcPr>
            <w:tcW w:w="5665" w:type="dxa"/>
          </w:tcPr>
          <w:p w14:paraId="6DC6BCEE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Dostawa: 100 m2 ekranu LED p3.9mm </w:t>
            </w:r>
            <w:proofErr w:type="spellStart"/>
            <w:r w:rsidRPr="0084378D">
              <w:rPr>
                <w:rFonts w:asciiTheme="minorHAnsi" w:hAnsiTheme="minorHAnsi" w:cstheme="minorHAnsi"/>
              </w:rPr>
              <w:t>outdoor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78D">
              <w:rPr>
                <w:rFonts w:asciiTheme="minorHAnsi" w:hAnsiTheme="minorHAnsi" w:cstheme="minorHAnsi"/>
              </w:rPr>
              <w:t>rentalowy</w:t>
            </w:r>
            <w:proofErr w:type="spellEnd"/>
            <w:r w:rsidRPr="0084378D">
              <w:rPr>
                <w:rFonts w:asciiTheme="minorHAnsi" w:hAnsiTheme="minorHAnsi" w:cstheme="minorHAnsi"/>
              </w:rPr>
              <w:t>, w tym 80 m2 w kabinetach o szerokości 0,5 m i wysokości 1 m, 20 m2 w kabinetach o szerokości 0,5 m i wysokości 0,5 m, z kompatybilnymi ze sobą systemami łączenia modułów (rama aluminiowa).</w:t>
            </w:r>
          </w:p>
          <w:p w14:paraId="7C4ADB3C" w14:textId="77777777" w:rsidR="0084378D" w:rsidRPr="0084378D" w:rsidRDefault="0084378D" w:rsidP="00315D0B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Minimalne parametry: rozdzielczość ekranu: 256 pikseli na metr szerokości ekranu, 256 pikseli na metr wysokości ekranu (65536 pikseli na m2 – p3.9).</w:t>
            </w:r>
          </w:p>
          <w:p w14:paraId="5EC998D6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Typ modułów odbiorczych (</w:t>
            </w:r>
            <w:proofErr w:type="spellStart"/>
            <w:r w:rsidRPr="0084378D">
              <w:rPr>
                <w:rFonts w:asciiTheme="minorHAnsi" w:hAnsiTheme="minorHAnsi" w:cstheme="minorHAnsi"/>
              </w:rPr>
              <w:t>recieverów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): </w:t>
            </w:r>
          </w:p>
          <w:p w14:paraId="76F9364F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Karta odbiorcza kompatybilna z urządzeniami nadawczymi (sterownikami) obsługa 512 × 384 pikseli, wsparcie dla zarządzania kolorami, min 18-bitowa głębia kolorów, regulacja poziomu jasności pikseli i kalibracja barw, regulacja gamma dla kanałów RGB oraz funkcje 3D.</w:t>
            </w:r>
          </w:p>
          <w:p w14:paraId="51A57C78" w14:textId="77777777" w:rsidR="0084378D" w:rsidRPr="0084378D" w:rsidRDefault="0084378D" w:rsidP="00315D0B">
            <w:pPr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Lampa SMD 1921 czarna oparta o złoty drut. Odświeżanie obrazu min 3840HZ. Odporność na warunki IP 65 – front/tył.</w:t>
            </w:r>
          </w:p>
          <w:p w14:paraId="54A4E687" w14:textId="77777777" w:rsidR="0084378D" w:rsidRPr="0084378D" w:rsidRDefault="0084378D" w:rsidP="00315D0B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Złącza sygnałowe: RJ45 ETHERCON.</w:t>
            </w:r>
          </w:p>
          <w:p w14:paraId="552CA833" w14:textId="77777777" w:rsidR="0084378D" w:rsidRPr="0084378D" w:rsidRDefault="0084378D" w:rsidP="00AF584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lastRenderedPageBreak/>
              <w:t>Elementy montażowe do podwieszania ekranu (wieszaki tzw. Flying Bar) 20 szt. o długości 1 m, 20 szt. o długości 0,5 m.</w:t>
            </w:r>
          </w:p>
          <w:p w14:paraId="2D3DA098" w14:textId="77777777" w:rsidR="0084378D" w:rsidRPr="0084378D" w:rsidRDefault="0084378D" w:rsidP="00315D0B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Skrzynie transportowe/ </w:t>
            </w:r>
            <w:proofErr w:type="spellStart"/>
            <w:r w:rsidRPr="0084378D">
              <w:rPr>
                <w:rFonts w:asciiTheme="minorHAnsi" w:hAnsiTheme="minorHAnsi" w:cstheme="minorHAnsi"/>
              </w:rPr>
              <w:t>flight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78D">
              <w:rPr>
                <w:rFonts w:asciiTheme="minorHAnsi" w:hAnsiTheme="minorHAnsi" w:cstheme="minorHAnsi"/>
              </w:rPr>
              <w:t>case</w:t>
            </w:r>
            <w:proofErr w:type="spellEnd"/>
            <w:r w:rsidRPr="0084378D">
              <w:rPr>
                <w:rFonts w:asciiTheme="minorHAnsi" w:hAnsiTheme="minorHAnsi" w:cstheme="minorHAnsi"/>
              </w:rPr>
              <w:t>/ drewniane na kółkach na ekran i akcesoria.</w:t>
            </w:r>
          </w:p>
          <w:p w14:paraId="3046A88F" w14:textId="77777777" w:rsidR="0084378D" w:rsidRPr="0084378D" w:rsidRDefault="0084378D" w:rsidP="00315D0B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Niezbędne okablowanie/ 288 szt. kabli sygnałowych, 288 szt. kabli zasilających między modułami, 25 szt. kabli zasilających głównych o długości min 20 </w:t>
            </w:r>
            <w:proofErr w:type="spellStart"/>
            <w:r w:rsidRPr="0084378D">
              <w:rPr>
                <w:rFonts w:asciiTheme="minorHAnsi" w:hAnsiTheme="minorHAnsi" w:cstheme="minorHAnsi"/>
              </w:rPr>
              <w:t>mb</w:t>
            </w:r>
            <w:proofErr w:type="spellEnd"/>
            <w:r w:rsidRPr="0084378D">
              <w:rPr>
                <w:rFonts w:asciiTheme="minorHAnsi" w:hAnsiTheme="minorHAnsi" w:cstheme="minorHAnsi"/>
              </w:rPr>
              <w:t>. z wtyczką prądową 2p+z, 16A 230V IP44.</w:t>
            </w:r>
          </w:p>
          <w:p w14:paraId="21BD386A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Urządzenia sterujące:</w:t>
            </w:r>
          </w:p>
          <w:p w14:paraId="7329F267" w14:textId="77777777" w:rsidR="0084378D" w:rsidRPr="0084378D" w:rsidRDefault="0084378D" w:rsidP="00315D0B">
            <w:p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Komputer sterujący: wg minimalnych parametrów:</w:t>
            </w:r>
          </w:p>
          <w:p w14:paraId="2B454697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Obudowa RACK, Procesor (CPU) o minimalnych parametrach: 24 rdzenie, 32 wątki, 64 bitowa architektura, proces technologiczny 10nm, obsługiwana pamięć DDR5-5600, pamięć podręczna L2 32MB, pamięć podręczna L3 36MB, częstotliwość taktowania 2GHz, częstotliwość taktowania w trybie turbo 5.8, Płyta główna wyposażona w gniazdo procesora LGA1700, minimum 2 </w:t>
            </w:r>
            <w:proofErr w:type="spellStart"/>
            <w:r w:rsidRPr="0084378D">
              <w:rPr>
                <w:rFonts w:asciiTheme="minorHAnsi" w:hAnsiTheme="minorHAnsi" w:cstheme="minorHAnsi"/>
              </w:rPr>
              <w:t>sloty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pcie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5.0 x16, 2 </w:t>
            </w:r>
            <w:proofErr w:type="spellStart"/>
            <w:r w:rsidRPr="0084378D">
              <w:rPr>
                <w:rFonts w:asciiTheme="minorHAnsi" w:hAnsiTheme="minorHAnsi" w:cstheme="minorHAnsi"/>
              </w:rPr>
              <w:t>sloty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pcie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3.0 x16, 1 slot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pcie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3.0 x1, 3x slot m2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pcie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4.0 x4, 4 porty </w:t>
            </w:r>
            <w:proofErr w:type="spellStart"/>
            <w:r w:rsidRPr="0084378D">
              <w:rPr>
                <w:rFonts w:asciiTheme="minorHAnsi" w:hAnsiTheme="minorHAnsi" w:cstheme="minorHAnsi"/>
              </w:rPr>
              <w:t>sata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3.0, obsługiwane rodzaje pamięci DDR5- SDRAM,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PCIe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5.0, obsługiwane rodzaje dysków HDD &amp; SSD, Pamięć (RAM min 96 GB, DDR5, 5200 MHz (2 x 48 GB) KIT.</w:t>
            </w:r>
          </w:p>
          <w:p w14:paraId="1BB1DB5C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Karta graficzna: minimum 48 GB, typ pamięci GDDR6, przepustowość pamięci 768 GB/s, RDZENIE CUDA – 10752 sztuki, 84 rdzenie </w:t>
            </w:r>
            <w:proofErr w:type="spellStart"/>
            <w:r w:rsidRPr="0084378D">
              <w:rPr>
                <w:rFonts w:asciiTheme="minorHAnsi" w:hAnsiTheme="minorHAnsi" w:cstheme="minorHAnsi"/>
              </w:rPr>
              <w:t>ray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78D">
              <w:rPr>
                <w:rFonts w:asciiTheme="minorHAnsi" w:hAnsiTheme="minorHAnsi" w:cstheme="minorHAnsi"/>
              </w:rPr>
              <w:t>tracing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, 4 wyjścia </w:t>
            </w:r>
            <w:proofErr w:type="spellStart"/>
            <w:r w:rsidRPr="0084378D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84378D">
              <w:rPr>
                <w:rFonts w:asciiTheme="minorHAnsi" w:hAnsiTheme="minorHAnsi" w:cstheme="minorHAnsi"/>
              </w:rPr>
              <w:t>,</w:t>
            </w:r>
          </w:p>
          <w:p w14:paraId="11391D5C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Dysk M.2 SSD 2 sztuki: pojemność 8TB, </w:t>
            </w:r>
            <w:proofErr w:type="spellStart"/>
            <w:r w:rsidRPr="0084378D">
              <w:rPr>
                <w:rFonts w:asciiTheme="minorHAnsi" w:hAnsiTheme="minorHAnsi" w:cstheme="minorHAnsi"/>
              </w:rPr>
              <w:t>NVMe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PCIe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M.2 SSD (prędkość do 7000 MB/s przy odczycie, 6100 MB/s przy zapisie).</w:t>
            </w:r>
          </w:p>
          <w:p w14:paraId="57280A18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ZASILACZ minimum 750W, sprawność &gt;90% przy 230V oraz 20-100% obciążeniu, ultra cichy. </w:t>
            </w:r>
          </w:p>
          <w:p w14:paraId="361812FC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49D2656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Oprogramowanie:</w:t>
            </w:r>
          </w:p>
          <w:p w14:paraId="2BD49473" w14:textId="77777777" w:rsidR="0084378D" w:rsidRPr="0084378D" w:rsidRDefault="0084378D" w:rsidP="0084378D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Windows 11 Professional lub równoważne,</w:t>
            </w:r>
          </w:p>
          <w:p w14:paraId="154FC623" w14:textId="77777777" w:rsidR="0084378D" w:rsidRPr="0084378D" w:rsidRDefault="0084378D" w:rsidP="0084378D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Oprogramowanie </w:t>
            </w:r>
            <w:proofErr w:type="spellStart"/>
            <w:r w:rsidRPr="0084378D">
              <w:rPr>
                <w:rFonts w:asciiTheme="minorHAnsi" w:hAnsiTheme="minorHAnsi" w:cstheme="minorHAnsi"/>
              </w:rPr>
              <w:t>VJskie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pozwalające na odtwarzanie klipów wideo oraz grafik w czasie rzeczywistym na wielu warstwach (minimum 20), z możliwością stosowania na odtwarzanych klipach efektów wizualnych (wbudowanych w oprogramowaniu jak również możliwych dodatkowych), pozwalające tworzenie </w:t>
            </w:r>
            <w:proofErr w:type="spellStart"/>
            <w:r w:rsidRPr="0084378D">
              <w:rPr>
                <w:rFonts w:asciiTheme="minorHAnsi" w:hAnsiTheme="minorHAnsi" w:cstheme="minorHAnsi"/>
              </w:rPr>
              <w:t>mappingu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(wyświetlanie materiałów źródłowych na wielu wyjściach wideo, dopasowywanie geometrii obrazu do potrzeb), pozwalające na korzystanie z: sterowników midi, komunikację po protokołach DMX, OSC, MIDI, NDI, SPOUT, kompatybilne z kodekiem plików DXV. </w:t>
            </w:r>
          </w:p>
          <w:p w14:paraId="3070F5B2" w14:textId="77777777" w:rsidR="0084378D" w:rsidRPr="0084378D" w:rsidRDefault="0084378D" w:rsidP="0084378D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Oprogramowanie służące do odtwarzania na zewnętrzne ekrany oraz do transmisji strumieniowej:</w:t>
            </w:r>
          </w:p>
          <w:p w14:paraId="788E845A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- możliwość wybrania jako źródeł: klipów wideo, grafik, prezentacji </w:t>
            </w:r>
            <w:proofErr w:type="spellStart"/>
            <w:r w:rsidRPr="0084378D">
              <w:rPr>
                <w:rFonts w:asciiTheme="minorHAnsi" w:hAnsiTheme="minorHAnsi" w:cstheme="minorHAnsi"/>
              </w:rPr>
              <w:t>powerpoint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, transmisji strumieniowej po protokole </w:t>
            </w:r>
            <w:proofErr w:type="spellStart"/>
            <w:r w:rsidRPr="0084378D">
              <w:rPr>
                <w:rFonts w:asciiTheme="minorHAnsi" w:hAnsiTheme="minorHAnsi" w:cstheme="minorHAnsi"/>
              </w:rPr>
              <w:t>rtsp</w:t>
            </w:r>
            <w:proofErr w:type="spellEnd"/>
            <w:r w:rsidRPr="0084378D">
              <w:rPr>
                <w:rFonts w:asciiTheme="minorHAnsi" w:hAnsiTheme="minorHAnsi" w:cstheme="minorHAnsi"/>
              </w:rPr>
              <w:t>, NDI, sygnału audio zewnętrznego, plików audio, strony internetowej, folderu z grafikami (pokaz slajdów), DVD video;</w:t>
            </w:r>
          </w:p>
          <w:p w14:paraId="0E7876F8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lastRenderedPageBreak/>
              <w:t>- możliwość nagrywania wielostrumieniowego (kilka źródeł jednocześnie);</w:t>
            </w:r>
          </w:p>
          <w:p w14:paraId="3E78CEC0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- możliwość miksowania sygnałów audio zarówno na wejściu jak i na wyjściu;</w:t>
            </w:r>
          </w:p>
          <w:p w14:paraId="3BA0809B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- podgląd na żywo obrazu wyjściowego i wejściowego</w:t>
            </w:r>
          </w:p>
          <w:p w14:paraId="17728085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- możliwość nakładania grafik tytułowych na wyświetlany materiał;</w:t>
            </w:r>
          </w:p>
          <w:p w14:paraId="1EB9295D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>- możliwość zastosowania efektów przejścia pomiędzy odtwarzanymi materiałami;</w:t>
            </w:r>
          </w:p>
          <w:p w14:paraId="40748D5B" w14:textId="77777777" w:rsidR="0084378D" w:rsidRPr="0084378D" w:rsidRDefault="0084378D" w:rsidP="00315D0B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- możliwość użycia interfejsu </w:t>
            </w:r>
            <w:proofErr w:type="spellStart"/>
            <w:r w:rsidRPr="0084378D">
              <w:rPr>
                <w:rFonts w:asciiTheme="minorHAnsi" w:hAnsiTheme="minorHAnsi" w:cstheme="minorHAnsi"/>
              </w:rPr>
              <w:t>multiview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 (jednoczesny podgląd min. 16 wybranych źródeł).</w:t>
            </w:r>
          </w:p>
          <w:p w14:paraId="525FBB37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D9E210B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2 szt. sterowników do ekranów </w:t>
            </w:r>
            <w:proofErr w:type="spellStart"/>
            <w:r w:rsidRPr="0084378D">
              <w:rPr>
                <w:rFonts w:asciiTheme="minorHAnsi" w:hAnsiTheme="minorHAnsi" w:cstheme="minorHAnsi"/>
              </w:rPr>
              <w:t>led</w:t>
            </w:r>
            <w:proofErr w:type="spellEnd"/>
            <w:r w:rsidRPr="0084378D">
              <w:rPr>
                <w:rFonts w:asciiTheme="minorHAnsi" w:hAnsiTheme="minorHAnsi" w:cstheme="minorHAnsi"/>
              </w:rPr>
              <w:t xml:space="preserve">, obsługujących rozdzielczość na wejściu 4K przy częstotliwości 60Hz, obsługa typów sygnałów wejściowych: HDMI, DVI, </w:t>
            </w:r>
            <w:proofErr w:type="spellStart"/>
            <w:r w:rsidRPr="0084378D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84378D">
              <w:rPr>
                <w:rFonts w:asciiTheme="minorHAnsi" w:hAnsiTheme="minorHAnsi" w:cstheme="minorHAnsi"/>
              </w:rPr>
              <w:t>, obsługa rozdzielczości wyjściowej do maksymalnej wysokości lub szerokości 7680 pikseli, obsługa 12-bitowej głębi kolorów, obsługa HDR10, wyposażone w 16 Gigabit Ethernet i transmisji światłowodowej poprzez moduły SFP.</w:t>
            </w:r>
          </w:p>
          <w:p w14:paraId="76668AB2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2 szt. odbiorników światłowodowych do ekranów </w:t>
            </w:r>
            <w:proofErr w:type="spellStart"/>
            <w:r w:rsidRPr="0084378D">
              <w:rPr>
                <w:rFonts w:asciiTheme="minorHAnsi" w:hAnsiTheme="minorHAnsi" w:cstheme="minorHAnsi"/>
              </w:rPr>
              <w:t>led</w:t>
            </w:r>
            <w:proofErr w:type="spellEnd"/>
            <w:r w:rsidRPr="0084378D">
              <w:rPr>
                <w:rFonts w:asciiTheme="minorHAnsi" w:hAnsiTheme="minorHAnsi" w:cstheme="minorHAnsi"/>
              </w:rPr>
              <w:t>, kompatybilnych z urządzeniami nadawczymi (sterownikami) zasięg transmisji sygnału min 10 km, obsługa 16 portów Ethernet, 4 wyjścia światłowodowe bazujące na modułach SFP.</w:t>
            </w:r>
          </w:p>
          <w:p w14:paraId="56E3B77D" w14:textId="77777777" w:rsidR="0084378D" w:rsidRPr="0084378D" w:rsidRDefault="0084378D" w:rsidP="00315D0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84378D">
              <w:rPr>
                <w:rFonts w:asciiTheme="minorHAnsi" w:hAnsiTheme="minorHAnsi" w:cstheme="minorHAnsi"/>
              </w:rPr>
              <w:t xml:space="preserve">Światłowód na bębnie: długość 400m, 24 żyłowy </w:t>
            </w:r>
            <w:proofErr w:type="spellStart"/>
            <w:r w:rsidRPr="0084378D">
              <w:rPr>
                <w:rFonts w:asciiTheme="minorHAnsi" w:hAnsiTheme="minorHAnsi" w:cstheme="minorHAnsi"/>
              </w:rPr>
              <w:t>jednomodowy</w:t>
            </w:r>
            <w:proofErr w:type="spellEnd"/>
            <w:r w:rsidRPr="0084378D">
              <w:rPr>
                <w:rFonts w:asciiTheme="minorHAnsi" w:hAnsiTheme="minorHAnsi" w:cstheme="minorHAnsi"/>
              </w:rPr>
              <w:t>, ze złączem MPO o wzmocnionej konstrukcji.</w:t>
            </w:r>
          </w:p>
          <w:p w14:paraId="790314BE" w14:textId="77777777" w:rsidR="0084378D" w:rsidRPr="0084378D" w:rsidRDefault="0084378D" w:rsidP="00315D0B">
            <w:pPr>
              <w:rPr>
                <w:rFonts w:asciiTheme="minorHAnsi" w:eastAsia="Calibri" w:hAnsiTheme="minorHAnsi" w:cstheme="minorHAnsi"/>
              </w:rPr>
            </w:pPr>
          </w:p>
          <w:p w14:paraId="063FB12B" w14:textId="77777777" w:rsidR="0084378D" w:rsidRPr="0084378D" w:rsidRDefault="0084378D" w:rsidP="00315D0B">
            <w:pPr>
              <w:spacing w:after="160" w:line="276" w:lineRule="auto"/>
              <w:rPr>
                <w:rFonts w:asciiTheme="minorHAnsi" w:eastAsia="Calibri" w:hAnsiTheme="minorHAnsi" w:cstheme="minorHAnsi"/>
              </w:rPr>
            </w:pPr>
            <w:r w:rsidRPr="0084378D">
              <w:rPr>
                <w:rFonts w:asciiTheme="minorHAnsi" w:eastAsia="Calibri" w:hAnsiTheme="minorHAnsi" w:cstheme="minorHAnsi"/>
              </w:rPr>
              <w:t>Ilość: 1 zestaw/komplet.</w:t>
            </w:r>
          </w:p>
        </w:tc>
        <w:tc>
          <w:tcPr>
            <w:tcW w:w="1985" w:type="dxa"/>
          </w:tcPr>
          <w:p w14:paraId="547C60B6" w14:textId="77777777" w:rsidR="0084378D" w:rsidRPr="0084378D" w:rsidRDefault="0084378D" w:rsidP="00315D0B">
            <w:pPr>
              <w:shd w:val="clear" w:color="auto" w:fill="FFFFFF"/>
              <w:ind w:left="34" w:right="175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979" w:type="dxa"/>
          </w:tcPr>
          <w:p w14:paraId="429718C2" w14:textId="77777777" w:rsidR="0084378D" w:rsidRPr="0084378D" w:rsidRDefault="0084378D" w:rsidP="00315D0B">
            <w:pPr>
              <w:autoSpaceDE w:val="0"/>
              <w:jc w:val="right"/>
              <w:rPr>
                <w:rFonts w:asciiTheme="minorHAnsi" w:eastAsia="Calibri" w:hAnsiTheme="minorHAnsi" w:cstheme="minorHAnsi"/>
              </w:rPr>
            </w:pPr>
          </w:p>
        </w:tc>
      </w:tr>
    </w:tbl>
    <w:p w14:paraId="6F314F0B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1B25680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1AD4FEE" w14:textId="77777777" w:rsidR="0084378D" w:rsidRPr="0084378D" w:rsidRDefault="0084378D" w:rsidP="0084378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4378D">
        <w:rPr>
          <w:rFonts w:asciiTheme="minorHAnsi" w:hAnsiTheme="minorHAnsi" w:cstheme="minorHAnsi"/>
          <w:b/>
        </w:rPr>
        <w:t>Wartość oferty brutto słownie: ……………………………………………………………………… PLN</w:t>
      </w:r>
    </w:p>
    <w:p w14:paraId="30E038BA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4ECF430" w14:textId="77777777" w:rsidR="0084378D" w:rsidRPr="0084378D" w:rsidRDefault="0084378D" w:rsidP="0084378D">
      <w:pPr>
        <w:pStyle w:val="Akapitzlist"/>
        <w:widowControl w:val="0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</w:rPr>
        <w:t>Oświadczamy, że cena podana w ofercie obejmuje wszystkie koszty związane z wykonaniem przedmiotu zamówienia oraz warunkami i wytycznymi stawianymi przez Zamawiającego.</w:t>
      </w:r>
    </w:p>
    <w:p w14:paraId="3160AD41" w14:textId="77777777" w:rsidR="0084378D" w:rsidRPr="0084378D" w:rsidRDefault="0084378D" w:rsidP="0084378D">
      <w:pPr>
        <w:pStyle w:val="Akapitzlist"/>
        <w:widowControl w:val="0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PROPONOWANY</w:t>
      </w:r>
      <w:r w:rsidRPr="0084378D">
        <w:rPr>
          <w:rFonts w:asciiTheme="minorHAnsi" w:hAnsiTheme="minorHAnsi" w:cstheme="minorHAnsi"/>
          <w:color w:val="000000"/>
          <w:sz w:val="22"/>
          <w:szCs w:val="22"/>
        </w:rPr>
        <w:t xml:space="preserve"> przez nas okres gwarancji to ……..… miesięcy.</w:t>
      </w:r>
    </w:p>
    <w:p w14:paraId="64E36BF4" w14:textId="77777777" w:rsidR="0084378D" w:rsidRPr="0084378D" w:rsidRDefault="0084378D" w:rsidP="0084378D">
      <w:pPr>
        <w:pStyle w:val="Akapitzlist"/>
        <w:widowControl w:val="0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UWAŻAMY SIĘ </w:t>
      </w: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 związanych niniejszą ofertą przez czas wskazany w Specyfikacji Zamówienia, tj. przez okres 30 dni od upływu terminu składania ofert. </w:t>
      </w:r>
    </w:p>
    <w:p w14:paraId="03B16B93" w14:textId="77777777" w:rsidR="0084378D" w:rsidRPr="0084378D" w:rsidRDefault="0084378D" w:rsidP="0084378D">
      <w:pPr>
        <w:pStyle w:val="Akapitzlist"/>
        <w:widowControl w:val="0"/>
        <w:numPr>
          <w:ilvl w:val="0"/>
          <w:numId w:val="3"/>
        </w:numPr>
        <w:spacing w:before="120" w:after="12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Załącznikami do niniejszego Formularza ofertowego są: </w:t>
      </w:r>
    </w:p>
    <w:p w14:paraId="4878AA83" w14:textId="77777777" w:rsidR="0084378D" w:rsidRPr="0084378D" w:rsidRDefault="0084378D" w:rsidP="0084378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powiązań pomiędzy Wykonawcą a Zamawiającym;</w:t>
      </w:r>
    </w:p>
    <w:p w14:paraId="583241B3" w14:textId="77777777" w:rsidR="0084378D" w:rsidRPr="0084378D" w:rsidRDefault="0084378D" w:rsidP="0084378D">
      <w:pPr>
        <w:pStyle w:val="Akapitzlist"/>
        <w:widowControl w:val="0"/>
        <w:numPr>
          <w:ilvl w:val="2"/>
          <w:numId w:val="1"/>
        </w:numPr>
        <w:spacing w:before="120" w:after="120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4378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Oświadczenie o braku podstaw do wykluczenia z postępowania;</w:t>
      </w:r>
    </w:p>
    <w:p w14:paraId="1B0F4F44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5609203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4CE3A4E" w14:textId="77777777" w:rsidR="0084378D" w:rsidRPr="0084378D" w:rsidRDefault="0084378D" w:rsidP="0084378D">
      <w:pPr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69FAB8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__________________, dnia __ __ ……… roku</w:t>
      </w:r>
    </w:p>
    <w:p w14:paraId="018A1442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EF9222A" w14:textId="77777777" w:rsid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CC15E8" w14:textId="77777777" w:rsidR="00AF5846" w:rsidRDefault="00AF5846" w:rsidP="0084378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6848182" w14:textId="77777777" w:rsidR="0084378D" w:rsidRPr="0084378D" w:rsidRDefault="0084378D" w:rsidP="0084378D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________________________________</w:t>
      </w:r>
    </w:p>
    <w:p w14:paraId="56585070" w14:textId="77715B5D" w:rsidR="00AD537C" w:rsidRPr="00AF5846" w:rsidRDefault="0084378D" w:rsidP="00AF5846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84378D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(pieczęć i podpis Oferenta)</w:t>
      </w:r>
    </w:p>
    <w:sectPr w:rsidR="00AD537C" w:rsidRPr="00AF58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54B86" w14:textId="77777777" w:rsidR="00405134" w:rsidRDefault="00405134" w:rsidP="0084378D">
      <w:r>
        <w:separator/>
      </w:r>
    </w:p>
  </w:endnote>
  <w:endnote w:type="continuationSeparator" w:id="0">
    <w:p w14:paraId="40D2D795" w14:textId="77777777" w:rsidR="00405134" w:rsidRDefault="00405134" w:rsidP="0084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035D1" w14:textId="77777777" w:rsidR="00405134" w:rsidRDefault="00405134" w:rsidP="0084378D">
      <w:r>
        <w:separator/>
      </w:r>
    </w:p>
  </w:footnote>
  <w:footnote w:type="continuationSeparator" w:id="0">
    <w:p w14:paraId="51A2CA0C" w14:textId="77777777" w:rsidR="00405134" w:rsidRDefault="00405134" w:rsidP="0084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34CDC" w14:textId="0E92EACB" w:rsidR="0084378D" w:rsidRDefault="0084378D">
    <w:pPr>
      <w:pStyle w:val="Nagwek"/>
    </w:pPr>
    <w:r>
      <w:rPr>
        <w:noProof/>
        <w:lang w:eastAsia="pl-PL"/>
      </w:rPr>
      <w:drawing>
        <wp:inline distT="0" distB="0" distL="0" distR="0" wp14:anchorId="354631EF" wp14:editId="0541569A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224F1"/>
    <w:multiLevelType w:val="hybridMultilevel"/>
    <w:tmpl w:val="B36E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952DD0"/>
    <w:multiLevelType w:val="hybridMultilevel"/>
    <w:tmpl w:val="23D038F2"/>
    <w:lvl w:ilvl="0" w:tplc="5B86911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42C312F"/>
    <w:multiLevelType w:val="hybridMultilevel"/>
    <w:tmpl w:val="93C8C8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4070768">
    <w:abstractNumId w:val="2"/>
  </w:num>
  <w:num w:numId="2" w16cid:durableId="129597114">
    <w:abstractNumId w:val="0"/>
  </w:num>
  <w:num w:numId="3" w16cid:durableId="1134523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1943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8D"/>
    <w:rsid w:val="00405134"/>
    <w:rsid w:val="0074648A"/>
    <w:rsid w:val="0084378D"/>
    <w:rsid w:val="00AD537C"/>
    <w:rsid w:val="00AF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38C5"/>
  <w15:chartTrackingRefBased/>
  <w15:docId w15:val="{F30BEBBD-562D-4FC7-80E0-355D19F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4378D"/>
    <w:pPr>
      <w:ind w:left="720"/>
      <w:contextualSpacing/>
    </w:pPr>
  </w:style>
  <w:style w:type="paragraph" w:customStyle="1" w:styleId="Default">
    <w:name w:val="Default"/>
    <w:rsid w:val="008437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8437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7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78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858</Words>
  <Characters>5153</Characters>
  <Application>Microsoft Office Word</Application>
  <DocSecurity>0</DocSecurity>
  <Lines>42</Lines>
  <Paragraphs>11</Paragraphs>
  <ScaleCrop>false</ScaleCrop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Marcin Krzykała</cp:lastModifiedBy>
  <cp:revision>2</cp:revision>
  <dcterms:created xsi:type="dcterms:W3CDTF">2024-08-28T14:42:00Z</dcterms:created>
  <dcterms:modified xsi:type="dcterms:W3CDTF">2024-08-28T14:45:00Z</dcterms:modified>
</cp:coreProperties>
</file>