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right"/>
        <w:rPr>
          <w:rFonts w:ascii="Tahoma" w:cs="Tahoma" w:eastAsia="Tahoma" w:hAnsi="Tahoma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right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Data publikacji 20.09.2024 r.</w:t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ZAPYTANIE OFERTOWE nr 4/2024/BODEX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na zakup infrastruktury umożliwiającej produkcję nowego typu biżuterii, tj. elektropolerki wraz z oprzyrządowaniem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w związku z realizacją projektu pn. „Nowy projekt wzorniczy biżuterii jako szansa na wzrost efektywności sprzedażowej </w:t>
        <w:br w:type="textWrapping"/>
        <w:t xml:space="preserve">oraz dywersyfikacji</w:t>
      </w:r>
    </w:p>
    <w:p w:rsidR="00000000" w:rsidDel="00000000" w:rsidP="00000000" w:rsidRDefault="00000000" w:rsidRPr="00000000" w14:paraId="00000006">
      <w:pPr>
        <w:spacing w:after="0" w:line="36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produkcji marki BODEX KLEPACCY SILVER” o numerze FEPW.01.04-IP.01-0010/23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ahoma" w:cs="Tahoma" w:eastAsia="Tahoma" w:hAnsi="Tahoma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współfinansowanego ze środków Unii Europejskiej w ramach Europejskiego Funduszu Rozwoju Regionalnego, Program Fundusze Europejskie dla Polski Wschodniej</w:t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Tahoma" w:cs="Tahoma" w:eastAsia="Tahoma" w:hAnsi="Tahoma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2021-2027, w ramach Osi Priorytetowej 1 Przedsiębiorczość i Innowacje, 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działania 1.4 Wzornictwo w  MŚP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DANE ZAMAWIAJĄCEGO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"BODEX" Bogusław Klepacki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Tahoma" w:cs="Tahoma" w:eastAsia="Tahoma" w:hAnsi="Tahoma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Ul. Kpt. Józefa Kłopotowskiego 1, 16-100 Sokółka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NIP: 5450003745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Strona www: https://www.bodex-klepaccy.pl/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Tahoma" w:cs="Tahoma" w:eastAsia="Tahoma" w:hAnsi="Tahoma"/>
          <w:color w:val="000000"/>
          <w:sz w:val="20"/>
          <w:szCs w:val="20"/>
        </w:rPr>
      </w:pPr>
      <w:bookmarkStart w:colFirst="0" w:colLast="0" w:name="_heading=h.tyjcwt" w:id="5"/>
      <w:bookmarkEnd w:id="5"/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E-mail: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oferty.bodex@gmail.com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Osoba do kontaktu: Beata Klepacka (numer telefonu: 606-786-040)</w:t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Tahoma" w:cs="Tahoma" w:eastAsia="Tahoma" w:hAnsi="Tahoma"/>
          <w:sz w:val="20"/>
          <w:szCs w:val="20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Termin realizacji zamówienia:</w:t>
      </w:r>
    </w:p>
    <w:p w:rsidR="00000000" w:rsidDel="00000000" w:rsidP="00000000" w:rsidRDefault="00000000" w:rsidRPr="00000000" w14:paraId="00000014">
      <w:pPr>
        <w:spacing w:after="0" w:line="360" w:lineRule="auto"/>
        <w:ind w:left="360" w:firstLine="0"/>
        <w:jc w:val="both"/>
        <w:rPr>
          <w:rFonts w:ascii="Tahoma" w:cs="Tahoma" w:eastAsia="Tahoma" w:hAnsi="Tahoma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Dostarczenie 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elektropolerki wraz z oprzyrządowaniem,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montażem i szkoleniem z obsługi </w:t>
        <w:br w:type="textWrapping"/>
        <w:t xml:space="preserve">w siedzibie Zamawiającego w terminie maksymalnie do 10.10.2024 r.</w:t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Opis przedmiotu zamówienia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18">
      <w:pPr>
        <w:spacing w:after="0" w:line="360" w:lineRule="auto"/>
        <w:ind w:left="36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bookmarkStart w:colFirst="0" w:colLast="0" w:name="_heading=h.1t3h5sf" w:id="7"/>
      <w:bookmarkEnd w:id="7"/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Przedmiotem zamówienia jest zakup infrastruktury umożliwiającej produkcję nowego typu biżuterii, tj. elektropolerki wraz z oprzyrządowaniem w związku z realizacją projektu pn. „Nowy projekt wzorniczy biżuterii jako szansa na wzrost efektywności sprzedażowej oraz dywersyfikacji produkcji marki BODEX KLEPACCY SILVER” współfinansowanego ze środków Unii Europejskiej w ramach Europejskiego Funduszu Rozwoju Regionalnego, Program Fundusze Europejskie dla Polski Wschodniej 2021-2027, </w:t>
        <w:br w:type="textWrapping"/>
        <w:t xml:space="preserve">w ramach Osi Priorytetowej 1 Przedsiębiorczość i Innowacje, działania 1.4 Wzornictwo w  MŚP.</w:t>
      </w:r>
    </w:p>
    <w:p w:rsidR="00000000" w:rsidDel="00000000" w:rsidP="00000000" w:rsidRDefault="00000000" w:rsidRPr="00000000" w14:paraId="0000001A">
      <w:pPr>
        <w:spacing w:after="0" w:line="360" w:lineRule="auto"/>
        <w:rPr>
          <w:rFonts w:ascii="Tahoma" w:cs="Tahoma" w:eastAsia="Tahoma" w:hAnsi="Tahoma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rPr>
          <w:rFonts w:ascii="Tahoma" w:cs="Tahoma" w:eastAsia="Tahoma" w:hAnsi="Tahoma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rPr>
          <w:rFonts w:ascii="Tahoma" w:cs="Tahoma" w:eastAsia="Tahoma" w:hAnsi="Tahoma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rPr>
          <w:rFonts w:ascii="Tahoma" w:cs="Tahoma" w:eastAsia="Tahoma" w:hAnsi="Tahoma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Szczegółowa specyfikacja zamówienia:</w:t>
      </w:r>
    </w:p>
    <w:p w:rsidR="00000000" w:rsidDel="00000000" w:rsidP="00000000" w:rsidRDefault="00000000" w:rsidRPr="00000000" w14:paraId="0000001F">
      <w:pPr>
        <w:spacing w:after="0" w:line="360" w:lineRule="auto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Przedmiotem zamówienia jest zakup infrastruktury umożliwiającej produkcję nowego typu biżuterii, tj. elektropolerki wraz z oprzyrządowaniem o poniższych parametrach: </w:t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1. Elektropolerka IQ ECO przeznaczona do polerowania wyrobów ze złota lub srebra w trudno dostępnych miejscach.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2. Zasilanie – 230V, 50Hz.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3. Moc zainstalowana – 0,4 kW.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4. Napięcie robocze – 0-24V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5. Prąd roboczy – 5A MAX</w:t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6. Ilość uchwytów do zawieszania elementów do polerowania – 32</w:t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7. Maksymalna masa – do 90 kg.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8. Maksymalne wymiary 900x1000x600 mm</w:t>
      </w: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9. Poziom hałasu – 60-65dB.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10. Dotykowy Panel sterowniczy HMI w języku polskim.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11. Oprogramowanie i instrukcja obsługi w języku polskim.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Cena realizacji przedmiotu zamówienia podana w formularzu ofertowym (załącznik nr 1 do zapytania) powinna uwzględniać koszt dostawy, uruchomienia elektropolerki wraz z oprzyrządowaniem  i szkolenie pracownika Zamawiającego z obsługi.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Gwarancja: minimum 12 miesięcy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Czas reakcji serwisu: 24 godziny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Serwis zdalny czas reakcji: do 1 godziny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Wyłoniony w drodze postępowania ofertowego wykonawca przedmiotu zamówienia zobowiązany jest do dostarczenia pełnej dokumentacji urządzenia w języku polskim.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Przedmiot zamówienia obejmuje pierwsze uruchomienie i szkolenie w zakresie bezpiecznej obsługi urządzenia w siedzibie Zamawiającego przez przeszkolonego pracownika Wykonawcy.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Zakładany termin podpisania umowy z wyłonionym w drodze postępowania ofertowego Wykonawcą przedmiotu zamówienia: 30.09.2024 r.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80" w:firstLine="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80" w:firstLine="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80" w:firstLine="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jc w:val="both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Kod CPV:</w:t>
      </w:r>
    </w:p>
    <w:p w:rsidR="00000000" w:rsidDel="00000000" w:rsidP="00000000" w:rsidRDefault="00000000" w:rsidRPr="00000000" w14:paraId="0000003D">
      <w:pPr>
        <w:spacing w:after="0" w:line="360" w:lineRule="auto"/>
        <w:jc w:val="both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42000000-6 Maszyny przemysłowe</w:t>
      </w:r>
    </w:p>
    <w:p w:rsidR="00000000" w:rsidDel="00000000" w:rsidP="00000000" w:rsidRDefault="00000000" w:rsidRPr="00000000" w14:paraId="0000003E">
      <w:pPr>
        <w:spacing w:after="0" w:line="360" w:lineRule="auto"/>
        <w:jc w:val="both"/>
        <w:rPr>
          <w:rFonts w:ascii="Tahoma" w:cs="Tahoma" w:eastAsia="Tahoma" w:hAnsi="Tahoma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informuje, że usługa stanowiąca przedmiot niniejszego zamówienia będzie współfinansowana ze środków Unii Europejskiej w ramach Europejskiego Funduszu Rozwoju Regionalnego, Program Fundusze Europejskie dla Polski Wschodniej 2021-2027, w ramach Osi Priorytetowej 1 Przedsiębiorczość i Innowacje, działania 1.4 Wzornictwo w  MŚP.</w:t>
      </w:r>
    </w:p>
    <w:p w:rsidR="00000000" w:rsidDel="00000000" w:rsidP="00000000" w:rsidRDefault="00000000" w:rsidRPr="00000000" w14:paraId="00000040">
      <w:pPr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Tryb udzielania zamówienia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Zamówienie będzie udzielone na drodze postępowania ofertowego, zgodnie z zasadą konkurencyjności,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highlight w:val="white"/>
          <w:rtl w:val="0"/>
        </w:rPr>
        <w:t xml:space="preserve"> w rozumieniu podrozdziału 3.2. sekcji 3.2.2. „Wytycznych dotyczących kwalifikowalności wydatków na lata 2021-2027”.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nie przewiduje możliwości składania ofert częściowych, dopuszcza jednocześnie korzystanie przez oferentów z zasobów podmiotów trzecich w realizacji zamówienia.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nie dopuszcza składania ofert wariantowych.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Złożenie oferty nie powoduje powstania żadnych zobowiązań wobec Zamawiającego. Każdemu z Wykonawców przysługuje możliwość złożenia tylko jednej oferty.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zastrzega sobie prawo do niewybrania żadnej ze złożonych ofert oraz do unieważnienia postępowania ofertowego bez podania przyczyny na każdym etapie jego trwania.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Przeprowadzenie niniejszego postępowania oraz wybór oferty nastąpi z pełnym poszanowaniem zasad uczciwej konkurencji, równego traktowania, efektywności, jawności i przejrzystości oraz przy dołożeniu wszelkich starań w celu zapewnienia bezstronności i obiektywności wyboru.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W toku dokonywania oceny złożonych ofert Zamawiający może zażądać udzielenia przez Wykonawcę wyjaśnień dotyczących treści złożonej oferty.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zastrzega sobie prawo dokonania zmiany warunków postępowania ofertowego </w:t>
        <w:br w:type="textWrapping"/>
        <w:t xml:space="preserve">w trakcie jego trwania.</w:t>
      </w:r>
    </w:p>
    <w:p w:rsidR="00000000" w:rsidDel="00000000" w:rsidP="00000000" w:rsidRDefault="00000000" w:rsidRPr="00000000" w14:paraId="0000004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Złożenie oferty nie stanowi zawarcia umowy, a oferty są przygotowywane wyłącznie na koszt Oferenta.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Warunki zmiany umowy:</w:t>
      </w:r>
    </w:p>
    <w:p w:rsidR="00000000" w:rsidDel="00000000" w:rsidP="00000000" w:rsidRDefault="00000000" w:rsidRPr="00000000" w14:paraId="0000004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30" w:right="5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dopuszcza możliwość wprowadzenia zmiany umowy z wybranym Wykonawcą </w:t>
        <w:br w:type="textWrapping"/>
        <w:t xml:space="preserve">w stosunku do treści oferty na podstawie, której dokonano wyboru Wykonawcy, wynikających w szczególności ze zmian rozporządzeń i przepisów oraz innych dokumentów mając wpływ na realizację Projektu Zamawiającego w ramach działania 1.4 Wzornictwo w  MŚP, w tym wytycznych Programu Fundusze Europejskie dla Polski Wschodniej 2021-2027 oraz </w:t>
        <w:br w:type="textWrapping"/>
        <w:t xml:space="preserve">w przypadku, gdy zmiana nie prowadzi do modyfikacji charakteru umowy i spełnione zostały łącznie następujące warunki: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80" w:right="50" w:firstLine="0"/>
        <w:jc w:val="both"/>
        <w:rPr>
          <w:rFonts w:ascii="Tahoma" w:cs="Tahoma" w:eastAsia="Tahoma" w:hAnsi="Tahoma"/>
          <w:color w:val="00000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Tahoma" w:cs="Tahoma" w:eastAsia="Tahoma" w:hAnsi="Tahoma"/>
          <w:color w:val="00000a"/>
          <w:sz w:val="20"/>
          <w:szCs w:val="20"/>
          <w:rtl w:val="0"/>
        </w:rPr>
        <w:t xml:space="preserve">wartość zmiany nie przekracza 50% wartości zamówienia określonej pierwotnie,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80" w:right="50" w:firstLine="0"/>
        <w:jc w:val="both"/>
        <w:rPr>
          <w:rFonts w:ascii="Tahoma" w:cs="Tahoma" w:eastAsia="Tahoma" w:hAnsi="Tahoma"/>
          <w:color w:val="00000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a"/>
          <w:sz w:val="20"/>
          <w:szCs w:val="20"/>
          <w:rtl w:val="0"/>
        </w:rPr>
        <w:t xml:space="preserve">- konieczność zmiany umowy spowodowana jest okolicznościami, których Zamawiający, działając z należytą starannością, nie mógł przewidzieć,</w:t>
      </w:r>
    </w:p>
    <w:p w:rsidR="00000000" w:rsidDel="00000000" w:rsidP="00000000" w:rsidRDefault="00000000" w:rsidRPr="00000000" w14:paraId="0000005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30" w:right="50" w:hanging="360"/>
        <w:jc w:val="both"/>
        <w:rPr>
          <w:rFonts w:ascii="Tahoma" w:cs="Tahoma" w:eastAsia="Tahoma" w:hAnsi="Tahoma"/>
          <w:color w:val="00000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Wszelkie zmiany i uzupełnienia do umowy zawartej z wybranym Wykonawcą będą dokonywane wyłącznie w formie pisemnych aneksów do umowy podpisanych przez obie strony, pod rygorem nieważności.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30" w:hanging="360"/>
        <w:jc w:val="both"/>
        <w:rPr>
          <w:rFonts w:ascii="Tahoma" w:cs="Tahoma" w:eastAsia="Tahoma" w:hAnsi="Tahoma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u w:val="single"/>
          <w:rtl w:val="0"/>
        </w:rPr>
        <w:t xml:space="preserve">Warunki udziału w postępowaniu: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360" w:lineRule="auto"/>
        <w:ind w:left="37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Zapytanie ofertowe skierowane jest do osób fizycznych niebędących personelem projektu, osób prawnych lub jednostek organizacyjnych nieposiadających osobowości prawnej, które oferują świadczenie usług będących przedmiotem niniejszej zapytania ofertowego. </w:t>
      </w:r>
    </w:p>
    <w:p w:rsidR="00000000" w:rsidDel="00000000" w:rsidP="00000000" w:rsidRDefault="00000000" w:rsidRPr="00000000" w14:paraId="00000056">
      <w:pPr>
        <w:widowControl w:val="0"/>
        <w:spacing w:after="0" w:line="360" w:lineRule="auto"/>
        <w:ind w:left="37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5.1.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Z postępowania o udzielenie zamówienia wykluczeniu podlegają Wykonawcy, którzy są powiązani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9"/>
        </w:numPr>
        <w:tabs>
          <w:tab w:val="left" w:leader="none" w:pos="284"/>
        </w:tabs>
        <w:spacing w:after="0" w:line="360" w:lineRule="auto"/>
        <w:ind w:left="73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9"/>
        </w:numPr>
        <w:tabs>
          <w:tab w:val="left" w:leader="none" w:pos="284"/>
        </w:tabs>
        <w:spacing w:after="0" w:line="360" w:lineRule="auto"/>
        <w:ind w:left="73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posiadaniu co najmniej 10% udziałów lub akcji,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9"/>
        </w:numPr>
        <w:tabs>
          <w:tab w:val="left" w:leader="none" w:pos="284"/>
        </w:tabs>
        <w:spacing w:after="0" w:line="360" w:lineRule="auto"/>
        <w:ind w:left="73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9"/>
        </w:numPr>
        <w:tabs>
          <w:tab w:val="left" w:leader="none" w:pos="284"/>
        </w:tabs>
        <w:spacing w:after="0" w:line="360" w:lineRule="auto"/>
        <w:ind w:left="73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pozostawaniu w związku małżeńskim, w stosunku pokrewieństwa lub powinowactwa w linii prostej, pokrewieństwa lub powinowactwa w linii bocznej do drugiego stopnia, lub związaniu  </w:t>
        <w:br w:type="textWrapping"/>
        <w:t xml:space="preserve">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zamówienia.</w:t>
      </w:r>
    </w:p>
    <w:p w:rsidR="00000000" w:rsidDel="00000000" w:rsidP="00000000" w:rsidRDefault="00000000" w:rsidRPr="00000000" w14:paraId="0000005B">
      <w:pPr>
        <w:widowControl w:val="0"/>
        <w:tabs>
          <w:tab w:val="left" w:leader="none" w:pos="284"/>
        </w:tabs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ab/>
        <w:t xml:space="preserve">5.2.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Oferent podlega wykluczeniu z postępowania o udzielenie zamówienia z powodu: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otwarcia w stosunku do Oferenta postępowania likwidacyjnego lub ogłoszenia upadłości,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1"/>
        </w:numPr>
        <w:tabs>
          <w:tab w:val="left" w:leader="none" w:pos="284"/>
        </w:tabs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złożenia nieprawdziwych informacji mających wpływ na wynik prowadzonego postępowania.</w:t>
      </w:r>
    </w:p>
    <w:p w:rsidR="00000000" w:rsidDel="00000000" w:rsidP="00000000" w:rsidRDefault="00000000" w:rsidRPr="00000000" w14:paraId="0000005E">
      <w:pPr>
        <w:spacing w:after="0" w:line="360" w:lineRule="auto"/>
        <w:ind w:firstLine="284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5.3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Wymagany okres ważności oferty wynosi 30 dni od dnia upływu terminu składania ofert.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F">
      <w:pPr>
        <w:widowControl w:val="0"/>
        <w:tabs>
          <w:tab w:val="left" w:leader="none" w:pos="284"/>
        </w:tabs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ab/>
        <w:t xml:space="preserve">5.4.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Załączniki niezbędne do złożenia przez Oferenta warunkujące Jego udział w postępowaniu: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4"/>
        </w:numPr>
        <w:tabs>
          <w:tab w:val="left" w:leader="none" w:pos="284"/>
        </w:tabs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Oferent zobowiązany jest sporządzić ofertę komputerowo w języku polskim na formularzu ofertowym, który stanowi </w:t>
      </w: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Załącznik nr 1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do niniejszego zapytania ofertowego.</w:t>
      </w:r>
    </w:p>
    <w:p w:rsidR="00000000" w:rsidDel="00000000" w:rsidP="00000000" w:rsidRDefault="00000000" w:rsidRPr="00000000" w14:paraId="00000061">
      <w:pPr>
        <w:widowControl w:val="0"/>
        <w:numPr>
          <w:ilvl w:val="0"/>
          <w:numId w:val="4"/>
        </w:numPr>
        <w:tabs>
          <w:tab w:val="left" w:leader="none" w:pos="284"/>
        </w:tabs>
        <w:spacing w:after="0" w:line="360" w:lineRule="auto"/>
        <w:ind w:left="720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Oferent zobowiązany jest dołączyć do oferty oświadczenie o braku powiązań z pkt. 5.1 według wzoru stanowiącego </w:t>
      </w: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Załącznik nr 2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do niniejszego zapytania ofertowego. </w:t>
      </w:r>
    </w:p>
    <w:p w:rsidR="00000000" w:rsidDel="00000000" w:rsidP="00000000" w:rsidRDefault="00000000" w:rsidRPr="00000000" w14:paraId="00000062">
      <w:pPr>
        <w:widowControl w:val="0"/>
        <w:numPr>
          <w:ilvl w:val="0"/>
          <w:numId w:val="4"/>
        </w:numPr>
        <w:tabs>
          <w:tab w:val="left" w:leader="none" w:pos="284"/>
        </w:tabs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Oferent zobowiązany jest dołączyć do oferty oświadczenie o zdolności do wykonywania  zamówienia według wzoru stanowiącego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Załącznik nr 3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na które składa się potwierdzenie posiadania przez Oferenta:</w:t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284"/>
        </w:tabs>
        <w:spacing w:after="0" w:line="360" w:lineRule="auto"/>
        <w:ind w:left="72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 uprawnień do wykonywania działalności lub czynności określonej zapytaniem ofertowym, </w:t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284"/>
        </w:tabs>
        <w:spacing w:after="0" w:line="360" w:lineRule="auto"/>
        <w:ind w:left="72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 niezbędnej wiedzy i doświadczenia oraz potencjału technicznego, a także dysponowania osobami zdolnymi do wykonania zamówienia.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Oferent zobowiązany jest dołączyć do oferty specyfikację techniczną oferowanej elektropolerki wraz z oprzyrządowaniem, ze wskazaniem okresu udzielanej gwarancji, serwisu </w:t>
        <w:br w:type="textWrapping"/>
        <w:t xml:space="preserve">i pozostałych składowych w ramach składanej oferty opatrzoną podpisem osoby uprawnionej do reprezentacji zgodnie z dokumentem rejestrowym, w celu oceny zgodności względem specyfikacji przedmiotu zamówienia ujętej w pkt. 2 zapytania ofertowego nr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/2024/BODEX.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Oferent zobowiązany jest dołączyć do oferty 2 potwierdzenia zrealizowanych zamówień na dostarczenie elektropolerki wraz z oprzyrządowaniem w formie protokołów zdawczo-odbiorczych lub innych równoważnych dokumentów dla potwierdzenia posiadanego potencjału do świadczenia usługi.</w:t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284"/>
        </w:tabs>
        <w:spacing w:after="0" w:line="360" w:lineRule="auto"/>
        <w:ind w:left="720" w:firstLine="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360" w:lineRule="auto"/>
        <w:ind w:firstLine="284"/>
        <w:jc w:val="both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Zamawiający warunki udziału w postępowaniu oceniał będzie zero-jedynkowo:</w:t>
      </w:r>
    </w:p>
    <w:p w:rsidR="00000000" w:rsidDel="00000000" w:rsidP="00000000" w:rsidRDefault="00000000" w:rsidRPr="00000000" w14:paraId="00000069">
      <w:pPr>
        <w:spacing w:after="0" w:line="360" w:lineRule="auto"/>
        <w:ind w:left="28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 spełnia (1 pkt.),</w:t>
      </w:r>
    </w:p>
    <w:p w:rsidR="00000000" w:rsidDel="00000000" w:rsidP="00000000" w:rsidRDefault="00000000" w:rsidRPr="00000000" w14:paraId="0000006A">
      <w:pPr>
        <w:spacing w:after="0" w:line="360" w:lineRule="auto"/>
        <w:ind w:left="284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 nie spełnia (0 pkt.).</w:t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284"/>
        </w:tabs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284"/>
        </w:tabs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Niespełnienie, któregokolwiek z wymienionych powyżej kryteriów dostępowych lub niezłożenie lub niepełne uzupełnienie, któregokolwiek z załączników skutkować będzie odrzuceniem oferty.</w:t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284"/>
        </w:tabs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360" w:lineRule="auto"/>
        <w:ind w:left="720" w:hanging="360"/>
        <w:jc w:val="both"/>
        <w:rPr>
          <w:rFonts w:ascii="Tahoma" w:cs="Tahoma" w:eastAsia="Tahoma" w:hAnsi="Tahoma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u w:val="single"/>
          <w:rtl w:val="0"/>
        </w:rPr>
        <w:t xml:space="preserve">Opis sposobu przedstawienia ceny:</w:t>
      </w:r>
    </w:p>
    <w:p w:rsidR="00000000" w:rsidDel="00000000" w:rsidP="00000000" w:rsidRDefault="00000000" w:rsidRPr="00000000" w14:paraId="0000006F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Oferent zobowiązany jest do podania ceny za realizację przedmiotu zamówienia zgodnie </w:t>
        <w:br w:type="textWrapping"/>
        <w:t xml:space="preserve">z formularzem ofertowym.</w:t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Podana w ofercie cena może być wyrażona w PLN/EUR/USD. Oferent zobligowany jest do podania łącznej ceny, która musi uwzględniać wszystkie wymagania przedmiotowego zapytania ofertowego oraz obejmować wszelkie koszty związane z terminowym i prawidłowym wykonaniem przedmiotu zamówienia oraz warunkami i wytycznymi stawianymi przez Zamawiającego, odnoszącymi się do przedmiotu zamówienia.</w:t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Ceny podane w EUR/USD zostaną przeliczone na PLN po średnim kursie NBP z dnia publikacji zapytania ofertowego.</w:t>
      </w:r>
    </w:p>
    <w:p w:rsidR="00000000" w:rsidDel="00000000" w:rsidP="00000000" w:rsidRDefault="00000000" w:rsidRPr="00000000" w14:paraId="00000072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Cena dla przedmiotu zamówienia może być tylko jedna, nie dopuszcza się wariantowości cen. Wszelkiego rodzaju upusty, rabaty, powinny być od razu ujęte w obliczaniu ceny, tak by wyliczona cena za realizację przedmiotu zamówienia była ceną ostateczną, bez konieczności dokonywania przez Zamawiającego przeliczeń i innych działań w celu jej określenia.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Ceną oferty jest cena netto za realizację przedmiotu zamówienia.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284"/>
        </w:tabs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Tahoma" w:cs="Tahoma" w:eastAsia="Tahoma" w:hAnsi="Tahoma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u w:val="single"/>
          <w:rtl w:val="0"/>
        </w:rPr>
        <w:t xml:space="preserve">Kryteria wyboru ofert:</w:t>
      </w:r>
    </w:p>
    <w:p w:rsidR="00000000" w:rsidDel="00000000" w:rsidP="00000000" w:rsidRDefault="00000000" w:rsidRPr="00000000" w14:paraId="00000076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Przedłożone oferty będą podlegały ocenie na podstawie następujących kryteriów:</w:t>
      </w:r>
    </w:p>
    <w:p w:rsidR="00000000" w:rsidDel="00000000" w:rsidP="00000000" w:rsidRDefault="00000000" w:rsidRPr="00000000" w14:paraId="00000078">
      <w:pPr>
        <w:spacing w:after="0" w:line="360" w:lineRule="auto"/>
        <w:ind w:left="360" w:firstLine="34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36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Kryterium 1 – cena netto – waga 100%.</w:t>
      </w:r>
    </w:p>
    <w:p w:rsidR="00000000" w:rsidDel="00000000" w:rsidP="00000000" w:rsidRDefault="00000000" w:rsidRPr="00000000" w14:paraId="0000007A">
      <w:pPr>
        <w:spacing w:after="0" w:line="360" w:lineRule="auto"/>
        <w:ind w:left="36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Wartość punktowa wyliczona zostanie następująco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7C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Cena: 100% - Wartość punktowa kryterium „Cena” (max 100 pkt.) wyliczana wg wzoru:</w:t>
      </w:r>
    </w:p>
    <w:p w:rsidR="00000000" w:rsidDel="00000000" w:rsidP="00000000" w:rsidRDefault="00000000" w:rsidRPr="00000000" w14:paraId="0000007D">
      <w:pPr>
        <w:spacing w:after="0" w:line="360" w:lineRule="auto"/>
        <w:ind w:left="36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360" w:lineRule="auto"/>
        <w:ind w:left="36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4d34og8" w:id="8"/>
      <w:bookmarkEnd w:id="8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Najniższa wartość oferty netto wśród otrzymanych ofert</w:t>
      </w:r>
    </w:p>
    <w:p w:rsidR="00000000" w:rsidDel="00000000" w:rsidP="00000000" w:rsidRDefault="00000000" w:rsidRPr="00000000" w14:paraId="00000080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--------------------------------------------------------------</w:t>
        <w:tab/>
        <w:t xml:space="preserve">x 100</w:t>
      </w:r>
    </w:p>
    <w:p w:rsidR="00000000" w:rsidDel="00000000" w:rsidP="00000000" w:rsidRDefault="00000000" w:rsidRPr="00000000" w14:paraId="00000081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Wartość netto wskazana w badanej ofercie</w:t>
      </w:r>
    </w:p>
    <w:p w:rsidR="00000000" w:rsidDel="00000000" w:rsidP="00000000" w:rsidRDefault="00000000" w:rsidRPr="00000000" w14:paraId="00000082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jc w:val="both"/>
        <w:rPr>
          <w:rFonts w:ascii="Tahoma" w:cs="Tahoma" w:eastAsia="Tahoma" w:hAnsi="Tahoma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u w:val="single"/>
          <w:rtl w:val="0"/>
        </w:rPr>
        <w:t xml:space="preserve">Termin i sposób nadsyłania ofert:</w:t>
      </w:r>
    </w:p>
    <w:p w:rsidR="00000000" w:rsidDel="00000000" w:rsidP="00000000" w:rsidRDefault="00000000" w:rsidRPr="00000000" w14:paraId="00000084">
      <w:pP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Oferta powinna być przesłana do Zamawiającego za pośrednictwem platformy Bazy Konkurencyjności dostępnej pod adresem 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u w:val="single"/>
          <w:rtl w:val="0"/>
        </w:rPr>
        <w:t xml:space="preserve">https://bazakonkurencyjnosci.funduszeeuropejskie.gov.pl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do końca dnia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27.09.2024 </w:t>
      </w: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r.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(decyduje data wpływu oferty). Oferty złożone po terminie nie będą rozpatrywane. </w:t>
      </w:r>
    </w:p>
    <w:p w:rsidR="00000000" w:rsidDel="00000000" w:rsidP="00000000" w:rsidRDefault="00000000" w:rsidRPr="00000000" w14:paraId="00000085">
      <w:pPr>
        <w:spacing w:after="0" w:line="360" w:lineRule="auto"/>
        <w:ind w:firstLine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Wybór zwycięskiej oferty:</w:t>
      </w:r>
    </w:p>
    <w:p w:rsidR="00000000" w:rsidDel="00000000" w:rsidP="00000000" w:rsidRDefault="00000000" w:rsidRPr="00000000" w14:paraId="0000008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04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Zamawiający udzieli zamówienia Wykonawcy/Wykonawcom, którego/których oferta odpowiada wszystkim wymogom zawartym w zapytaniu ofertowym i zostanie oceniona w podanych kryteriach wyboru jako najkorzystniejsza – uzyskując najwyższą liczbę punktów (max 100 pkt. w odniesieniu do danego przedmiotu zamówienia). </w:t>
      </w:r>
    </w:p>
    <w:p w:rsidR="00000000" w:rsidDel="00000000" w:rsidP="00000000" w:rsidRDefault="00000000" w:rsidRPr="00000000" w14:paraId="0000008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04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Wyboru Wykonawcy dokona Komisja Oceny Ofert, w skład której wejdą osoby bezstronne </w:t>
        <w:br w:type="textWrapping"/>
        <w:t xml:space="preserve">i obiektywne, które nie będą powiązane osobowe lub kapitałowo z wykonawcami, którzy złożyli oferty. </w:t>
      </w:r>
    </w:p>
    <w:p w:rsidR="00000000" w:rsidDel="00000000" w:rsidP="00000000" w:rsidRDefault="00000000" w:rsidRPr="00000000" w14:paraId="0000008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004" w:hanging="360"/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Jeżeli Zamawiający nie będzie mógł wybrać najkorzystniejszej oferty ze względu na to, że złożone zostały oferty uzyskały taką samą liczbę punktów, Zamawiający wezwie Wykonawców, którzy złożyli te oferty, do złożenia - w terminie określonym przez Zamawiającego - ofert dodatkowych. Wykonawcy składając oferty dodatkowe, nie mogą zaoferować cen wyższych niż zaoferowane w złożonych ofertach.</w:t>
      </w:r>
    </w:p>
    <w:p w:rsidR="00000000" w:rsidDel="00000000" w:rsidP="00000000" w:rsidRDefault="00000000" w:rsidRPr="00000000" w14:paraId="0000008A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5"/>
        </w:numPr>
        <w:spacing w:after="0" w:line="360" w:lineRule="auto"/>
        <w:ind w:left="360" w:hanging="360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Termin wyboru oferty zwycięskiej:</w:t>
      </w:r>
    </w:p>
    <w:p w:rsidR="00000000" w:rsidDel="00000000" w:rsidP="00000000" w:rsidRDefault="00000000" w:rsidRPr="00000000" w14:paraId="0000008D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Otwarcie ofert nastąpi w dniu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30.09.2024 r.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o godz.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08:30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8E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Decyzja dotycząca wyboru oferty zwycięskiej zostanie ogłoszona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30.09.2024 r.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o godz.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10:00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w taki sam sposób, w jaki opublikowano niniejsze zapytanie ofertowe tj. na stronie:</w:t>
      </w:r>
    </w:p>
    <w:p w:rsidR="00000000" w:rsidDel="00000000" w:rsidP="00000000" w:rsidRDefault="00000000" w:rsidRPr="00000000" w14:paraId="0000008F">
      <w:pPr>
        <w:spacing w:after="0" w:line="360" w:lineRule="auto"/>
        <w:jc w:val="both"/>
        <w:rPr>
          <w:rFonts w:ascii="Tahoma" w:cs="Tahoma" w:eastAsia="Tahoma" w:hAnsi="Tahoma"/>
          <w:color w:val="000000"/>
          <w:sz w:val="20"/>
          <w:szCs w:val="20"/>
        </w:rPr>
      </w:pPr>
      <w:hyperlink r:id="rId7">
        <w:r w:rsidDel="00000000" w:rsidR="00000000" w:rsidRPr="00000000">
          <w:rPr>
            <w:rFonts w:ascii="Tahoma" w:cs="Tahoma" w:eastAsia="Tahoma" w:hAnsi="Tahoma"/>
            <w:color w:val="000000"/>
            <w:sz w:val="20"/>
            <w:szCs w:val="20"/>
            <w:rtl w:val="0"/>
          </w:rPr>
          <w:t xml:space="preserve">https://bazakonkurencyjnosci.funduszeeuropejskie.gov.pl/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36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360" w:lineRule="auto"/>
        <w:ind w:left="426" w:hanging="360"/>
        <w:jc w:val="both"/>
        <w:rPr>
          <w:rFonts w:ascii="Tahoma" w:cs="Tahoma" w:eastAsia="Tahoma" w:hAnsi="Tahoma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u w:val="single"/>
          <w:rtl w:val="0"/>
        </w:rPr>
        <w:t xml:space="preserve">Wykaz załączników:</w:t>
      </w:r>
    </w:p>
    <w:p w:rsidR="00000000" w:rsidDel="00000000" w:rsidP="00000000" w:rsidRDefault="00000000" w:rsidRPr="00000000" w14:paraId="00000092">
      <w:pPr>
        <w:numPr>
          <w:ilvl w:val="0"/>
          <w:numId w:val="2"/>
        </w:numPr>
        <w:spacing w:after="0" w:before="240" w:line="360" w:lineRule="auto"/>
        <w:ind w:left="284" w:hanging="284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Załącznik nr 1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– Formularz ofertowy.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Załącznik nr 2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– Oświadczenie o braku powiązań osobowych lub kapitałowych pomiędzy Oferentem a Zamawiającym.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Załącznik nr 3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– Oświadczenie o zdolności do wykonania zamówienia.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284" w:footer="3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Strona </w:t>
    </w:r>
    <w:r w:rsidDel="00000000" w:rsidR="00000000" w:rsidRPr="00000000">
      <w:rPr>
        <w:rFonts w:ascii="Tahoma" w:cs="Tahoma" w:eastAsia="Tahoma" w:hAnsi="Tahoma"/>
        <w:b w:val="1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color w:val="000000"/>
        <w:sz w:val="20"/>
        <w:szCs w:val="20"/>
        <w:rtl w:val="0"/>
      </w:rPr>
      <w:t xml:space="preserve"> z </w:t>
    </w:r>
    <w:r w:rsidDel="00000000" w:rsidR="00000000" w:rsidRPr="00000000">
      <w:rPr>
        <w:rFonts w:ascii="Tahoma" w:cs="Tahoma" w:eastAsia="Tahoma" w:hAnsi="Tahoma"/>
        <w:b w:val="1"/>
        <w:color w:val="000000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</w:t>
    </w:r>
    <w:r w:rsidDel="00000000" w:rsidR="00000000" w:rsidRPr="00000000">
      <w:rPr>
        <w:color w:val="000000"/>
      </w:rPr>
      <w:drawing>
        <wp:inline distB="0" distT="0" distL="0" distR="0">
          <wp:extent cx="5760720" cy="822960"/>
          <wp:effectExtent b="0" l="0" r="0" t="0"/>
          <wp:docPr id="116952358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8229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ind w:left="730" w:hanging="360"/>
      </w:pPr>
      <w:rPr/>
    </w:lvl>
    <w:lvl w:ilvl="1">
      <w:start w:val="1"/>
      <w:numFmt w:val="lowerLetter"/>
      <w:lvlText w:val="%2."/>
      <w:lvlJc w:val="left"/>
      <w:pPr>
        <w:ind w:left="1450" w:hanging="360"/>
      </w:pPr>
      <w:rPr/>
    </w:lvl>
    <w:lvl w:ilvl="2">
      <w:start w:val="1"/>
      <w:numFmt w:val="lowerRoman"/>
      <w:lvlText w:val="%3."/>
      <w:lvlJc w:val="right"/>
      <w:pPr>
        <w:ind w:left="2170" w:hanging="180"/>
      </w:pPr>
      <w:rPr/>
    </w:lvl>
    <w:lvl w:ilvl="3">
      <w:start w:val="1"/>
      <w:numFmt w:val="decimal"/>
      <w:lvlText w:val="%4."/>
      <w:lvlJc w:val="left"/>
      <w:pPr>
        <w:ind w:left="2890" w:hanging="360"/>
      </w:pPr>
      <w:rPr/>
    </w:lvl>
    <w:lvl w:ilvl="4">
      <w:start w:val="1"/>
      <w:numFmt w:val="lowerLetter"/>
      <w:lvlText w:val="%5."/>
      <w:lvlJc w:val="left"/>
      <w:pPr>
        <w:ind w:left="3610" w:hanging="360"/>
      </w:pPr>
      <w:rPr/>
    </w:lvl>
    <w:lvl w:ilvl="5">
      <w:start w:val="1"/>
      <w:numFmt w:val="lowerRoman"/>
      <w:lvlText w:val="%6."/>
      <w:lvlJc w:val="right"/>
      <w:pPr>
        <w:ind w:left="4330" w:hanging="180"/>
      </w:pPr>
      <w:rPr/>
    </w:lvl>
    <w:lvl w:ilvl="6">
      <w:start w:val="1"/>
      <w:numFmt w:val="decimal"/>
      <w:lvlText w:val="%7."/>
      <w:lvlJc w:val="left"/>
      <w:pPr>
        <w:ind w:left="5050" w:hanging="360"/>
      </w:pPr>
      <w:rPr/>
    </w:lvl>
    <w:lvl w:ilvl="7">
      <w:start w:val="1"/>
      <w:numFmt w:val="lowerLetter"/>
      <w:lvlText w:val="%8."/>
      <w:lvlJc w:val="left"/>
      <w:pPr>
        <w:ind w:left="5770" w:hanging="360"/>
      </w:pPr>
      <w:rPr/>
    </w:lvl>
    <w:lvl w:ilvl="8">
      <w:start w:val="1"/>
      <w:numFmt w:val="lowerRoman"/>
      <w:lvlText w:val="%9."/>
      <w:lvlJc w:val="right"/>
      <w:pPr>
        <w:ind w:left="6490" w:hanging="180"/>
      </w:pPr>
      <w:rPr/>
    </w:lvl>
  </w:abstractNum>
  <w:abstractNum w:abstractNumId="8">
    <w:lvl w:ilvl="0">
      <w:start w:val="1"/>
      <w:numFmt w:val="lowerLetter"/>
      <w:lvlText w:val="%1)"/>
      <w:lvlJc w:val="left"/>
      <w:pPr>
        <w:ind w:left="1004" w:hanging="360"/>
      </w:pPr>
      <w:rPr/>
    </w:lvl>
    <w:lvl w:ilvl="1">
      <w:start w:val="1"/>
      <w:numFmt w:val="lowerLetter"/>
      <w:lvlText w:val="%2."/>
      <w:lvlJc w:val="left"/>
      <w:pPr>
        <w:ind w:left="1724" w:hanging="360"/>
      </w:pPr>
      <w:rPr/>
    </w:lvl>
    <w:lvl w:ilvl="2">
      <w:start w:val="1"/>
      <w:numFmt w:val="lowerRoman"/>
      <w:lvlText w:val="%3."/>
      <w:lvlJc w:val="right"/>
      <w:pPr>
        <w:ind w:left="2444" w:hanging="18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abstractNum w:abstractNumId="9">
    <w:lvl w:ilvl="0">
      <w:start w:val="1"/>
      <w:numFmt w:val="lowerLetter"/>
      <w:lvlText w:val="%1)"/>
      <w:lvlJc w:val="left"/>
      <w:pPr>
        <w:ind w:left="730" w:hanging="360"/>
      </w:pPr>
      <w:rPr/>
    </w:lvl>
    <w:lvl w:ilvl="1">
      <w:start w:val="1"/>
      <w:numFmt w:val="lowerLetter"/>
      <w:lvlText w:val="%2."/>
      <w:lvlJc w:val="left"/>
      <w:pPr>
        <w:ind w:left="1450" w:hanging="360"/>
      </w:pPr>
      <w:rPr/>
    </w:lvl>
    <w:lvl w:ilvl="2">
      <w:start w:val="1"/>
      <w:numFmt w:val="lowerRoman"/>
      <w:lvlText w:val="%3."/>
      <w:lvlJc w:val="right"/>
      <w:pPr>
        <w:ind w:left="2170" w:hanging="180"/>
      </w:pPr>
      <w:rPr/>
    </w:lvl>
    <w:lvl w:ilvl="3">
      <w:start w:val="1"/>
      <w:numFmt w:val="decimal"/>
      <w:lvlText w:val="%4."/>
      <w:lvlJc w:val="left"/>
      <w:pPr>
        <w:ind w:left="2890" w:hanging="360"/>
      </w:pPr>
      <w:rPr/>
    </w:lvl>
    <w:lvl w:ilvl="4">
      <w:start w:val="1"/>
      <w:numFmt w:val="lowerLetter"/>
      <w:lvlText w:val="%5."/>
      <w:lvlJc w:val="left"/>
      <w:pPr>
        <w:ind w:left="3610" w:hanging="360"/>
      </w:pPr>
      <w:rPr/>
    </w:lvl>
    <w:lvl w:ilvl="5">
      <w:start w:val="1"/>
      <w:numFmt w:val="lowerRoman"/>
      <w:lvlText w:val="%6."/>
      <w:lvlJc w:val="right"/>
      <w:pPr>
        <w:ind w:left="4330" w:hanging="180"/>
      </w:pPr>
      <w:rPr/>
    </w:lvl>
    <w:lvl w:ilvl="6">
      <w:start w:val="1"/>
      <w:numFmt w:val="decimal"/>
      <w:lvlText w:val="%7."/>
      <w:lvlJc w:val="left"/>
      <w:pPr>
        <w:ind w:left="5050" w:hanging="360"/>
      </w:pPr>
      <w:rPr/>
    </w:lvl>
    <w:lvl w:ilvl="7">
      <w:start w:val="1"/>
      <w:numFmt w:val="lowerLetter"/>
      <w:lvlText w:val="%8."/>
      <w:lvlJc w:val="left"/>
      <w:pPr>
        <w:ind w:left="5770" w:hanging="360"/>
      </w:pPr>
      <w:rPr/>
    </w:lvl>
    <w:lvl w:ilvl="8">
      <w:start w:val="1"/>
      <w:numFmt w:val="lowerRoman"/>
      <w:lvlText w:val="%9."/>
      <w:lvlJc w:val="right"/>
      <w:pPr>
        <w:ind w:left="649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E17A24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 w:val="1"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65579E"/>
  </w:style>
  <w:style w:type="paragraph" w:styleId="Stopka">
    <w:name w:val="footer"/>
    <w:basedOn w:val="Normalny"/>
    <w:link w:val="StopkaZnak"/>
    <w:uiPriority w:val="99"/>
    <w:unhideWhenUsed w:val="1"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65579E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5579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5579E"/>
    <w:rPr>
      <w:rFonts w:ascii="Segoe UI" w:cs="Segoe UI" w:hAnsi="Segoe UI"/>
      <w:sz w:val="18"/>
      <w:szCs w:val="18"/>
    </w:rPr>
  </w:style>
  <w:style w:type="character" w:styleId="Hipercze">
    <w:name w:val="Hyperlink"/>
    <w:basedOn w:val="Domylnaczcionkaakapitu"/>
    <w:uiPriority w:val="99"/>
    <w:unhideWhenUsed w:val="1"/>
    <w:rsid w:val="00B438A9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B438A9"/>
    <w:rPr>
      <w:color w:val="808080"/>
      <w:shd w:color="auto" w:fill="e6e6e6" w:val="clear"/>
    </w:rPr>
  </w:style>
  <w:style w:type="character" w:styleId="Nierozpoznanawzmianka2" w:customStyle="1">
    <w:name w:val="Nierozpoznana wzmianka2"/>
    <w:basedOn w:val="Domylnaczcionkaakapitu"/>
    <w:uiPriority w:val="99"/>
    <w:semiHidden w:val="1"/>
    <w:unhideWhenUsed w:val="1"/>
    <w:rsid w:val="00815F3C"/>
    <w:rPr>
      <w:color w:val="808080"/>
      <w:shd w:color="auto" w:fill="e6e6e6" w:val="clear"/>
    </w:rPr>
  </w:style>
  <w:style w:type="table" w:styleId="Tabela-Siatka">
    <w:name w:val="Table Grid"/>
    <w:basedOn w:val="Standardowy"/>
    <w:uiPriority w:val="39"/>
    <w:rsid w:val="000F3D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rsid w:val="000F3DA5"/>
    <w:pPr>
      <w:ind w:left="720"/>
      <w:contextualSpacing w:val="1"/>
    </w:pPr>
  </w:style>
  <w:style w:type="character" w:styleId="im" w:customStyle="1">
    <w:name w:val="im"/>
    <w:basedOn w:val="Domylnaczcionkaakapitu"/>
    <w:rsid w:val="00463CAA"/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C32EB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C32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FC32EB"/>
    <w:rPr>
      <w:vertAlign w:val="superscript"/>
    </w:rPr>
  </w:style>
  <w:style w:type="character" w:styleId="Nierozpoznanawzmianka3" w:customStyle="1">
    <w:name w:val="Nierozpoznana wzmianka3"/>
    <w:basedOn w:val="Domylnaczcionkaakapitu"/>
    <w:uiPriority w:val="99"/>
    <w:semiHidden w:val="1"/>
    <w:unhideWhenUsed w:val="1"/>
    <w:rsid w:val="00836AAF"/>
    <w:rPr>
      <w:color w:val="808080"/>
      <w:shd w:color="auto" w:fill="e6e6e6" w:val="clear"/>
    </w:rPr>
  </w:style>
  <w:style w:type="paragraph" w:styleId="NormalnyWeb">
    <w:name w:val="Normal (Web)"/>
    <w:basedOn w:val="Normalny"/>
    <w:uiPriority w:val="99"/>
    <w:unhideWhenUsed w:val="1"/>
    <w:rsid w:val="005503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st" w:customStyle="1">
    <w:name w:val="st"/>
    <w:basedOn w:val="Domylnaczcionkaakapitu"/>
    <w:rsid w:val="00346244"/>
  </w:style>
  <w:style w:type="character" w:styleId="Nierozpoznanawzmianka4" w:customStyle="1">
    <w:name w:val="Nierozpoznana wzmianka4"/>
    <w:basedOn w:val="Domylnaczcionkaakapitu"/>
    <w:uiPriority w:val="99"/>
    <w:semiHidden w:val="1"/>
    <w:unhideWhenUsed w:val="1"/>
    <w:rsid w:val="00782561"/>
    <w:rPr>
      <w:color w:val="605e5c"/>
      <w:shd w:color="auto" w:fill="e1dfdd" w:val="clear"/>
    </w:rPr>
  </w:style>
  <w:style w:type="numbering" w:styleId="Zaimportowanystyl1" w:customStyle="1">
    <w:name w:val="Zaimportowany styl 1"/>
    <w:rsid w:val="00B04A4A"/>
  </w:style>
  <w:style w:type="character" w:styleId="Hyperlink0" w:customStyle="1">
    <w:name w:val="Hyperlink.0"/>
    <w:basedOn w:val="Domylnaczcionkaakapitu"/>
    <w:rsid w:val="00B04A4A"/>
    <w:rPr>
      <w:color w:val="000000"/>
      <w:u w:color="000000" w:val="single"/>
    </w:rPr>
  </w:style>
  <w:style w:type="character" w:styleId="Nierozpoznanawzmianka5" w:customStyle="1">
    <w:name w:val="Nierozpoznana wzmianka5"/>
    <w:basedOn w:val="Domylnaczcionkaakapitu"/>
    <w:uiPriority w:val="99"/>
    <w:semiHidden w:val="1"/>
    <w:unhideWhenUsed w:val="1"/>
    <w:rsid w:val="00AA762D"/>
    <w:rPr>
      <w:color w:val="605e5c"/>
      <w:shd w:color="auto" w:fill="e1dfdd" w:val="clear"/>
    </w:rPr>
  </w:style>
  <w:style w:type="paragraph" w:styleId="Tekstpodstawowy">
    <w:name w:val="Body Text"/>
    <w:basedOn w:val="Normalny"/>
    <w:link w:val="TekstpodstawowyZnak"/>
    <w:uiPriority w:val="99"/>
    <w:unhideWhenUsed w:val="1"/>
    <w:rsid w:val="00394C9F"/>
    <w:pPr>
      <w:spacing w:after="120" w:line="276" w:lineRule="auto"/>
    </w:pPr>
    <w:rPr>
      <w:rFonts w:ascii="Arial" w:cs="Times New Roman" w:hAnsi="Aria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394C9F"/>
    <w:rPr>
      <w:rFonts w:ascii="Arial" w:cs="Times New Roman" w:eastAsia="Calibri" w:hAnsi="Arial"/>
    </w:rPr>
  </w:style>
  <w:style w:type="paragraph" w:styleId="srodekgruby" w:customStyle="1">
    <w:name w:val="srodek gruby"/>
    <w:basedOn w:val="Normalny"/>
    <w:rsid w:val="00BF76EB"/>
    <w:pPr>
      <w:suppressAutoHyphens w:val="1"/>
      <w:spacing w:after="280" w:line="254" w:lineRule="auto"/>
      <w:ind w:left="10" w:right="50"/>
    </w:pPr>
    <w:rPr>
      <w:rFonts w:ascii="Times New Roman" w:cs="Times New Roman" w:eastAsia="Times New Roman" w:hAnsi="Times New Roman"/>
      <w:color w:val="00000a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9C6127"/>
    <w:rPr>
      <w:color w:val="605e5c"/>
      <w:shd w:color="auto" w:fill="e1dfdd" w:val="clear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B0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1B023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1B02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1B023B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1B023B"/>
    <w:rPr>
      <w:b w:val="1"/>
      <w:bCs w:val="1"/>
      <w:sz w:val="20"/>
      <w:szCs w:val="20"/>
    </w:rPr>
  </w:style>
  <w:style w:type="character" w:styleId="hgkelc" w:customStyle="1">
    <w:name w:val="hgkelc"/>
    <w:basedOn w:val="Domylnaczcionkaakapitu"/>
    <w:rsid w:val="009A762D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azakonkurencyjnosci.funduszeeuropejskie.gov.pl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YKp7G7sGrN3epC670CCLB+C5EA==">CgMxLjAyCGguZ2pkZ3hzMgloLjMwajB6bGwyCWguMWZvYjl0ZTIJaC4zem55c2g3MgloLjJldDkycDAyCGgudHlqY3d0MgloLjNkeTZ2a20yCWguMXQzaDVzZjIJaC40ZDM0b2c4OAByITFZNHQ1X1Ztd1E1UGtNQldPM1lObjRqRHVMQUJwTHZtZQ==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2024-09-20T10:55:00Z</dcterms:created>
  <dc:creator>Monika Kutkiewicz-Słomka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0x01010060C14AACBC20FD4494107457081EFDF2</vt:lpwstr>
  </property>
</Properties>
</file>