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42E64F" w14:textId="77777777" w:rsidR="0023744F" w:rsidRPr="00C864B0" w:rsidRDefault="0023744F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Program: Fundusze Europejskie dla Pomorza Zachodniego 2021-2027</w:t>
      </w:r>
    </w:p>
    <w:p w14:paraId="608A3AF1" w14:textId="77777777" w:rsidR="0023744F" w:rsidRPr="00C864B0" w:rsidRDefault="005734FB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Priorytet 1 Fundusze Europejskie na rzecz przedsiębiorczego Pomorza</w:t>
      </w:r>
      <w:r w:rsidR="0023744F" w:rsidRPr="00C864B0">
        <w:rPr>
          <w:rFonts w:ascii="Arial" w:hAnsi="Arial" w:cs="Arial"/>
          <w:b/>
          <w:sz w:val="20"/>
          <w:szCs w:val="20"/>
        </w:rPr>
        <w:t xml:space="preserve"> </w:t>
      </w:r>
      <w:r w:rsidRPr="00C864B0">
        <w:rPr>
          <w:rFonts w:ascii="Arial" w:hAnsi="Arial" w:cs="Arial"/>
          <w:b/>
          <w:sz w:val="20"/>
          <w:szCs w:val="20"/>
        </w:rPr>
        <w:t>Zachodniego.</w:t>
      </w:r>
    </w:p>
    <w:p w14:paraId="32040C03" w14:textId="77777777" w:rsidR="00B060E6" w:rsidRPr="00C864B0" w:rsidRDefault="005734FB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Działanie 1.2 Małe projekty B+R</w:t>
      </w:r>
    </w:p>
    <w:p w14:paraId="604DAE79" w14:textId="77777777" w:rsidR="0023744F" w:rsidRPr="00C864B0" w:rsidRDefault="0023744F" w:rsidP="00C864B0">
      <w:pPr>
        <w:jc w:val="center"/>
        <w:rPr>
          <w:rFonts w:ascii="Arial" w:hAnsi="Arial" w:cs="Arial"/>
          <w:b/>
          <w:sz w:val="20"/>
          <w:szCs w:val="20"/>
        </w:rPr>
      </w:pPr>
      <w:r w:rsidRPr="00C864B0">
        <w:rPr>
          <w:rFonts w:ascii="Arial" w:hAnsi="Arial" w:cs="Arial"/>
          <w:b/>
          <w:sz w:val="20"/>
          <w:szCs w:val="20"/>
        </w:rPr>
        <w:t>Typ projektu: Zakup usług badawczych w organizacji badawczej.</w:t>
      </w:r>
    </w:p>
    <w:p w14:paraId="1F2B3A91" w14:textId="77777777" w:rsidR="0023744F" w:rsidRDefault="0023744F" w:rsidP="005D4B94">
      <w:pPr>
        <w:jc w:val="center"/>
        <w:rPr>
          <w:rFonts w:ascii="Arial" w:hAnsi="Arial" w:cs="Arial"/>
          <w:b/>
          <w:sz w:val="20"/>
          <w:szCs w:val="20"/>
        </w:rPr>
      </w:pPr>
    </w:p>
    <w:p w14:paraId="587281A6" w14:textId="4C294E3F" w:rsidR="00B060E6" w:rsidRDefault="00B060E6" w:rsidP="005D4B94">
      <w:pPr>
        <w:jc w:val="center"/>
        <w:rPr>
          <w:rFonts w:ascii="Arial" w:hAnsi="Arial" w:cs="Arial"/>
          <w:b/>
          <w:sz w:val="20"/>
          <w:szCs w:val="20"/>
        </w:rPr>
      </w:pPr>
      <w:r w:rsidRPr="005D4B94">
        <w:rPr>
          <w:rFonts w:ascii="Arial" w:hAnsi="Arial" w:cs="Arial"/>
          <w:b/>
          <w:sz w:val="20"/>
          <w:szCs w:val="20"/>
        </w:rPr>
        <w:t>ZAPYTANIE OFERTOWE</w:t>
      </w:r>
      <w:r w:rsidR="00DE4D62">
        <w:rPr>
          <w:rFonts w:ascii="Arial" w:hAnsi="Arial" w:cs="Arial"/>
          <w:b/>
          <w:sz w:val="20"/>
          <w:szCs w:val="20"/>
        </w:rPr>
        <w:t xml:space="preserve"> NR 1/2024</w:t>
      </w:r>
      <w:bookmarkStart w:id="0" w:name="_GoBack"/>
      <w:bookmarkEnd w:id="0"/>
    </w:p>
    <w:p w14:paraId="3BE4A741" w14:textId="77777777" w:rsidR="005D4B94" w:rsidRPr="005D4B94" w:rsidRDefault="005D4B94" w:rsidP="008C37B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</w:p>
    <w:p w14:paraId="4DF13C4F" w14:textId="77777777" w:rsidR="00B060E6" w:rsidRDefault="00B060E6" w:rsidP="008C37BC">
      <w:pPr>
        <w:pStyle w:val="Akapitzlist"/>
        <w:numPr>
          <w:ilvl w:val="0"/>
          <w:numId w:val="6"/>
        </w:numPr>
        <w:spacing w:line="360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 xml:space="preserve">Nazwa, adres </w:t>
      </w:r>
      <w:r w:rsidR="000D19AD">
        <w:rPr>
          <w:rFonts w:ascii="Arial" w:hAnsi="Arial" w:cs="Arial"/>
          <w:b/>
          <w:sz w:val="20"/>
          <w:szCs w:val="20"/>
        </w:rPr>
        <w:t>i dane teleadresowe Zlecającego usługę:</w:t>
      </w:r>
    </w:p>
    <w:p w14:paraId="3AA3786B" w14:textId="77777777" w:rsidR="008C37BC" w:rsidRPr="008C37BC" w:rsidRDefault="008C37BC" w:rsidP="008C37BC">
      <w:pPr>
        <w:spacing w:line="360" w:lineRule="auto"/>
        <w:rPr>
          <w:rFonts w:ascii="Arial" w:hAnsi="Arial" w:cs="Arial"/>
          <w:sz w:val="20"/>
          <w:szCs w:val="20"/>
        </w:rPr>
      </w:pPr>
      <w:r w:rsidRPr="008C37BC">
        <w:rPr>
          <w:rFonts w:ascii="Arial" w:hAnsi="Arial" w:cs="Arial"/>
          <w:sz w:val="20"/>
          <w:szCs w:val="20"/>
        </w:rPr>
        <w:t>Radex Zbigniew i Tomasz Nagay sp. k.; Kamieniec 50, 72-001 Kołbaskowo</w:t>
      </w:r>
      <w:r>
        <w:rPr>
          <w:rFonts w:ascii="Arial" w:hAnsi="Arial" w:cs="Arial"/>
          <w:sz w:val="20"/>
          <w:szCs w:val="20"/>
        </w:rPr>
        <w:t>.</w:t>
      </w:r>
    </w:p>
    <w:p w14:paraId="2C4F72EB" w14:textId="77777777" w:rsidR="00B060E6" w:rsidRPr="00E7202F" w:rsidRDefault="00B060E6" w:rsidP="005D4B94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Opis przedmiotu zamówienia, w tym nazwa i kod CPV.</w:t>
      </w:r>
    </w:p>
    <w:p w14:paraId="7EF8773C" w14:textId="77777777" w:rsidR="00B060E6" w:rsidRPr="005D4B94" w:rsidRDefault="00B060E6" w:rsidP="005D4B9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Przedmiotem zamówienia jest usługa badawczo rozwojowa</w:t>
      </w:r>
      <w:r w:rsidR="00A378AB">
        <w:rPr>
          <w:rFonts w:ascii="Arial" w:hAnsi="Arial" w:cs="Arial"/>
          <w:sz w:val="20"/>
          <w:szCs w:val="20"/>
        </w:rPr>
        <w:t xml:space="preserve">. </w:t>
      </w:r>
    </w:p>
    <w:p w14:paraId="1D033F25" w14:textId="77777777" w:rsidR="00B060E6" w:rsidRPr="00C24734" w:rsidRDefault="00B060E6" w:rsidP="00B060E6">
      <w:pPr>
        <w:rPr>
          <w:rFonts w:ascii="Arial" w:hAnsi="Arial" w:cs="Arial"/>
          <w:sz w:val="20"/>
          <w:szCs w:val="20"/>
          <w:u w:val="single"/>
        </w:rPr>
      </w:pPr>
      <w:r w:rsidRPr="00C24734">
        <w:rPr>
          <w:rFonts w:ascii="Arial" w:hAnsi="Arial" w:cs="Arial"/>
          <w:sz w:val="20"/>
          <w:szCs w:val="20"/>
          <w:u w:val="single"/>
        </w:rPr>
        <w:t>Zakres prac:</w:t>
      </w:r>
    </w:p>
    <w:p w14:paraId="4CE9887B" w14:textId="77777777" w:rsidR="00E345A5" w:rsidRDefault="00F66A3F" w:rsidP="00356E9C">
      <w:pPr>
        <w:spacing w:line="360" w:lineRule="auto"/>
        <w:rPr>
          <w:rFonts w:ascii="Arial" w:hAnsi="Arial" w:cs="Arial"/>
          <w:sz w:val="20"/>
          <w:szCs w:val="20"/>
        </w:rPr>
      </w:pPr>
      <w:bookmarkStart w:id="1" w:name="_Hlk181189820"/>
      <w:r w:rsidRPr="00F66A3F">
        <w:rPr>
          <w:rFonts w:ascii="Arial" w:hAnsi="Arial" w:cs="Arial"/>
          <w:sz w:val="20"/>
          <w:szCs w:val="20"/>
        </w:rPr>
        <w:t>Opracowanie i walidacja metody analitycznej oznaczania zawartości substancji czynnej – chloru aktywnego uwalnianego z podchlorynu sodu</w:t>
      </w:r>
      <w:r>
        <w:rPr>
          <w:rFonts w:ascii="Arial" w:hAnsi="Arial" w:cs="Arial"/>
          <w:sz w:val="20"/>
          <w:szCs w:val="20"/>
        </w:rPr>
        <w:t xml:space="preserve"> -</w:t>
      </w:r>
      <w:r w:rsidRPr="00F66A3F">
        <w:rPr>
          <w:rFonts w:ascii="Arial" w:hAnsi="Arial" w:cs="Arial"/>
          <w:sz w:val="20"/>
          <w:szCs w:val="20"/>
        </w:rPr>
        <w:t xml:space="preserve"> oraz w</w:t>
      </w:r>
      <w:r w:rsidR="00C24734" w:rsidRPr="00F66A3F">
        <w:rPr>
          <w:rFonts w:ascii="Arial" w:hAnsi="Arial" w:cs="Arial"/>
          <w:sz w:val="20"/>
          <w:szCs w:val="20"/>
        </w:rPr>
        <w:t>ykonanie badań wstępnych oraz badań po 6 miesiącach składowania w temperaturze 20°C w zakresie parametrów fizykochemicznych</w:t>
      </w:r>
      <w:bookmarkEnd w:id="1"/>
      <w:r w:rsidR="00C24734" w:rsidRPr="00F66A3F">
        <w:rPr>
          <w:rFonts w:ascii="Arial" w:hAnsi="Arial" w:cs="Arial"/>
          <w:sz w:val="20"/>
          <w:szCs w:val="20"/>
        </w:rPr>
        <w:t xml:space="preserve"> tj.: </w:t>
      </w:r>
    </w:p>
    <w:p w14:paraId="22715625" w14:textId="77777777" w:rsidR="00E345A5" w:rsidRDefault="00E345A5" w:rsidP="00356E9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F66A3F" w:rsidRPr="00F66A3F">
        <w:rPr>
          <w:rFonts w:ascii="Arial" w:hAnsi="Arial" w:cs="Arial"/>
          <w:sz w:val="20"/>
          <w:szCs w:val="20"/>
        </w:rPr>
        <w:t xml:space="preserve">stężenie substancji aktywnej według opracowanej metodyki, </w:t>
      </w:r>
    </w:p>
    <w:p w14:paraId="3EBAB753" w14:textId="77777777" w:rsidR="00E345A5" w:rsidRDefault="00E345A5" w:rsidP="00356E9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24734" w:rsidRPr="00F66A3F">
        <w:rPr>
          <w:rFonts w:ascii="Arial" w:hAnsi="Arial" w:cs="Arial"/>
          <w:sz w:val="20"/>
          <w:szCs w:val="20"/>
        </w:rPr>
        <w:t xml:space="preserve">wygląd (stan skupienia, barwa, zapach), </w:t>
      </w:r>
    </w:p>
    <w:p w14:paraId="334BE428" w14:textId="77777777" w:rsidR="00E345A5" w:rsidRDefault="00E345A5" w:rsidP="00356E9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proofErr w:type="spellStart"/>
      <w:r w:rsidR="00C24734" w:rsidRPr="00F66A3F">
        <w:rPr>
          <w:rFonts w:ascii="Arial" w:hAnsi="Arial" w:cs="Arial"/>
          <w:sz w:val="20"/>
          <w:szCs w:val="20"/>
        </w:rPr>
        <w:t>pH</w:t>
      </w:r>
      <w:proofErr w:type="spellEnd"/>
      <w:r w:rsidR="00C24734" w:rsidRPr="00F66A3F">
        <w:rPr>
          <w:rFonts w:ascii="Arial" w:hAnsi="Arial" w:cs="Arial"/>
          <w:sz w:val="20"/>
          <w:szCs w:val="20"/>
        </w:rPr>
        <w:t xml:space="preserve"> produktu nierozcieńczonego oraz </w:t>
      </w:r>
      <w:proofErr w:type="spellStart"/>
      <w:r w:rsidR="00C24734" w:rsidRPr="00F66A3F">
        <w:rPr>
          <w:rFonts w:ascii="Arial" w:hAnsi="Arial" w:cs="Arial"/>
          <w:sz w:val="20"/>
          <w:szCs w:val="20"/>
        </w:rPr>
        <w:t>pH</w:t>
      </w:r>
      <w:proofErr w:type="spellEnd"/>
      <w:r w:rsidR="00C24734" w:rsidRPr="00F66A3F">
        <w:rPr>
          <w:rFonts w:ascii="Arial" w:hAnsi="Arial" w:cs="Arial"/>
          <w:sz w:val="20"/>
          <w:szCs w:val="20"/>
        </w:rPr>
        <w:t xml:space="preserve"> roztworu 1% (m/m), </w:t>
      </w:r>
    </w:p>
    <w:p w14:paraId="148E69E6" w14:textId="77777777" w:rsidR="00E345A5" w:rsidRDefault="00E345A5" w:rsidP="00356E9C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24734" w:rsidRPr="00F66A3F">
        <w:rPr>
          <w:rFonts w:ascii="Arial" w:hAnsi="Arial" w:cs="Arial"/>
          <w:sz w:val="20"/>
          <w:szCs w:val="20"/>
        </w:rPr>
        <w:t xml:space="preserve">zasadowość, </w:t>
      </w:r>
    </w:p>
    <w:p w14:paraId="4289D6A2" w14:textId="77777777" w:rsidR="00E345A5" w:rsidRDefault="00E345A5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 xml:space="preserve">- </w:t>
      </w:r>
      <w:r w:rsidR="00C24734" w:rsidRPr="00F66A3F">
        <w:rPr>
          <w:rFonts w:ascii="Arial" w:hAnsi="Arial" w:cs="Arial"/>
          <w:sz w:val="20"/>
          <w:szCs w:val="20"/>
        </w:rPr>
        <w:t xml:space="preserve">gęstość względna w </w:t>
      </w:r>
      <w:r w:rsidR="00F66A3F" w:rsidRPr="00F66A3F">
        <w:rPr>
          <w:rFonts w:ascii="Arial" w:hAnsi="Arial" w:cs="Arial"/>
          <w:sz w:val="20"/>
          <w:szCs w:val="20"/>
        </w:rPr>
        <w:t>temperaturze</w:t>
      </w:r>
      <w:r w:rsidR="00C24734" w:rsidRPr="00F66A3F">
        <w:rPr>
          <w:rFonts w:ascii="Arial" w:hAnsi="Arial" w:cs="Arial"/>
          <w:sz w:val="20"/>
          <w:szCs w:val="20"/>
        </w:rPr>
        <w:t xml:space="preserve"> 20°C</w:t>
      </w:r>
      <w:r w:rsidR="00F66A3F" w:rsidRPr="00F66A3F">
        <w:rPr>
          <w:rFonts w:ascii="Arial" w:hAnsi="Arial" w:cs="Arial"/>
          <w:sz w:val="20"/>
          <w:szCs w:val="20"/>
        </w:rPr>
        <w:t xml:space="preserve"> oraz 40°C</w:t>
      </w:r>
      <w:r w:rsidR="00F66A3F"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, </w:t>
      </w:r>
    </w:p>
    <w:p w14:paraId="3EB826C6" w14:textId="77777777" w:rsidR="00E345A5" w:rsidRDefault="00E345A5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F66A3F"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trwałość piany dla wskazanego zakresu rozcieńczeń, </w:t>
      </w:r>
    </w:p>
    <w:p w14:paraId="32387083" w14:textId="77777777" w:rsidR="00E345A5" w:rsidRDefault="00E345A5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F66A3F"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stopień rozpuszczenia i stabilność roztworu dla wskazanego rozcieńczenia, </w:t>
      </w:r>
    </w:p>
    <w:p w14:paraId="2CCB2A19" w14:textId="77777777" w:rsidR="00E345A5" w:rsidRDefault="00E345A5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F66A3F"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napięcie powierzchniowe dla wskazanego rozcieńczenia, </w:t>
      </w:r>
    </w:p>
    <w:p w14:paraId="29124C63" w14:textId="77777777" w:rsidR="00E14235" w:rsidRDefault="00E345A5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- </w:t>
      </w:r>
      <w:r w:rsidR="00F66A3F"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lepkość kinematyczna w temperaturze 20°C oraz 40°C wraz z przeliczeniem na lepkość dynamiczną oraz ocenę stabilności opakowania produktu (ocena wizualna, masa brutto opakowania z preparatem)</w:t>
      </w:r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17E524AD" w14:textId="1CB6BA35" w:rsidR="00F66A3F" w:rsidRPr="00F66A3F" w:rsidRDefault="00F66A3F" w:rsidP="00356E9C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dla </w:t>
      </w:r>
      <w:r w:rsidR="00D069F1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ośmiu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produktów </w:t>
      </w:r>
      <w:r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 linii alkalicznych piennych preparatów do mycia i dezynfekcji na bazie podchlorynu sodu z zastosowaniem nowych w skali przedsiębiorstwa stabilizatorów piany, stabilizatorów chloru aktywnego i inhibitorów korozji.  </w:t>
      </w:r>
    </w:p>
    <w:p w14:paraId="637D731E" w14:textId="2149CDD5" w:rsidR="00B91E7F" w:rsidRPr="00E345A5" w:rsidRDefault="00F66A3F" w:rsidP="00E345A5">
      <w:pPr>
        <w:spacing w:line="360" w:lineRule="auto"/>
        <w:rPr>
          <w:rFonts w:ascii="Arial" w:eastAsia="Times New Roman" w:hAnsi="Arial" w:cs="Arial"/>
          <w:color w:val="000000"/>
          <w:sz w:val="20"/>
          <w:szCs w:val="20"/>
          <w:highlight w:val="yellow"/>
          <w:lang w:eastAsia="pl-PL"/>
        </w:rPr>
      </w:pPr>
      <w:r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wykonania</w:t>
      </w:r>
      <w:r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usługi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zostaną przygotowane </w:t>
      </w:r>
      <w:r w:rsidRP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gotowe produkty opracowane z wykorzystaniem metod statystycznej optymalizacji </w:t>
      </w:r>
      <w:r w:rsidRPr="00E345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mieszanin.</w:t>
      </w:r>
      <w:r w:rsidR="00E345A5" w:rsidRPr="00E345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B23CE0" w:rsidRPr="00E345A5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Planuje</w:t>
      </w:r>
      <w:r w:rsidR="00B23CE0" w:rsidRP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się opracowanie </w:t>
      </w:r>
      <w:r w:rsidR="00B91E7F" w:rsidRP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dla </w:t>
      </w:r>
      <w:r w:rsidR="00D069F1" w:rsidRP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8</w:t>
      </w:r>
      <w:r w:rsidR="00B23CE0" w:rsidRP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produktów w linii.</w:t>
      </w:r>
    </w:p>
    <w:p w14:paraId="5EB62428" w14:textId="12F92983" w:rsidR="00DF5898" w:rsidRPr="00B91E7F" w:rsidRDefault="00DF5898" w:rsidP="00B91E7F">
      <w:pPr>
        <w:shd w:val="clear" w:color="auto" w:fill="FFFFFF"/>
        <w:spacing w:beforeAutospacing="1" w:after="100" w:afterAutospacing="1" w:line="360" w:lineRule="auto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lastRenderedPageBreak/>
        <w:t xml:space="preserve">Wykonawca opracuje i przekaże Zlecającemu </w:t>
      </w:r>
      <w:r w:rsidR="006A4B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ynik</w:t>
      </w:r>
      <w:r w:rsidR="006A4B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i 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badań</w:t>
      </w:r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w </w:t>
      </w:r>
      <w:r w:rsidR="006A4B98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postaci raportu </w:t>
      </w:r>
      <w:r w:rsid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przygotowanego w dwóch egzemplarzach tj. w </w:t>
      </w:r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formie papierowej</w:t>
      </w:r>
      <w:r w:rsidR="00356E9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oraz w formie elektronicznej podpisanej z wykorzystaniem podpisów certyfikowanych</w:t>
      </w: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Formę elektroniczną raportu Wykonawca prześle Zlecającemu na adres email: </w:t>
      </w:r>
      <w:hyperlink r:id="rId8" w:history="1">
        <w:r w:rsidR="00F66A3F" w:rsidRPr="00502301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administracjapch@radex.com.pl</w:t>
        </w:r>
      </w:hyperlink>
      <w:r w:rsidR="00F66A3F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</w:p>
    <w:p w14:paraId="0C95FFB5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Kod CPV: 73100000-3 Usługi badawcze i eksperymentalno-rozwojowe</w:t>
      </w:r>
    </w:p>
    <w:p w14:paraId="717F68D1" w14:textId="77777777" w:rsidR="00B060E6" w:rsidRPr="00E7202F" w:rsidRDefault="00B060E6" w:rsidP="005D4B94">
      <w:pPr>
        <w:pStyle w:val="Akapitzlist"/>
        <w:numPr>
          <w:ilvl w:val="0"/>
          <w:numId w:val="6"/>
        </w:numPr>
        <w:ind w:left="426" w:hanging="426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Warunki udziału w postępowaniu oraz opis sposobu dokonywania oceny ich spełniania.</w:t>
      </w:r>
    </w:p>
    <w:p w14:paraId="3FE4FE41" w14:textId="77777777" w:rsidR="005D4B94" w:rsidRPr="005D4B94" w:rsidRDefault="005D4B94" w:rsidP="005D4B94">
      <w:pPr>
        <w:pStyle w:val="Akapitzlist"/>
        <w:ind w:left="426"/>
        <w:rPr>
          <w:rFonts w:ascii="Arial" w:hAnsi="Arial" w:cs="Arial"/>
          <w:sz w:val="20"/>
          <w:szCs w:val="20"/>
        </w:rPr>
      </w:pPr>
    </w:p>
    <w:p w14:paraId="4EFAE5D8" w14:textId="77777777" w:rsidR="00B060E6" w:rsidRPr="005D4B94" w:rsidRDefault="00B060E6" w:rsidP="005D4B94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Wykonawcą usługi badawczo-rozwojowej może być:</w:t>
      </w:r>
    </w:p>
    <w:p w14:paraId="0A506E55" w14:textId="77777777" w:rsidR="00B060E6" w:rsidRPr="005D4B94" w:rsidRDefault="00B060E6" w:rsidP="005D4B9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podmiot tworzący system szkolnictwa wyższego i nauki w rozumieniu art. 7.1 ustawy</w:t>
      </w:r>
      <w:r w:rsidR="005D4B94">
        <w:rPr>
          <w:rFonts w:ascii="Arial" w:hAnsi="Arial" w:cs="Arial"/>
          <w:sz w:val="20"/>
          <w:szCs w:val="20"/>
        </w:rPr>
        <w:t xml:space="preserve"> </w:t>
      </w:r>
      <w:r w:rsidRPr="005D4B94">
        <w:rPr>
          <w:rFonts w:ascii="Arial" w:hAnsi="Arial" w:cs="Arial"/>
          <w:sz w:val="20"/>
          <w:szCs w:val="20"/>
        </w:rPr>
        <w:t>z dnia 20 lipca 2018 r. Prawo o szkolnictwie wyższym i nauce;</w:t>
      </w:r>
    </w:p>
    <w:p w14:paraId="4AA564B5" w14:textId="77777777" w:rsidR="005D4B94" w:rsidRDefault="00B060E6" w:rsidP="005D4B9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Centrum Transferu Technologii w rozumieniu ustawy z dnia 20 lipca 2018 r. Prawo</w:t>
      </w:r>
      <w:r w:rsidR="005D4B94" w:rsidRPr="005D4B94">
        <w:rPr>
          <w:rFonts w:ascii="Arial" w:hAnsi="Arial" w:cs="Arial"/>
          <w:sz w:val="20"/>
          <w:szCs w:val="20"/>
        </w:rPr>
        <w:t xml:space="preserve"> </w:t>
      </w:r>
      <w:r w:rsidRPr="005D4B94">
        <w:rPr>
          <w:rFonts w:ascii="Arial" w:hAnsi="Arial" w:cs="Arial"/>
          <w:sz w:val="20"/>
          <w:szCs w:val="20"/>
        </w:rPr>
        <w:t>szkolnictwie wyższym i nauce;</w:t>
      </w:r>
      <w:r w:rsidR="005D4B94" w:rsidRPr="005D4B94">
        <w:rPr>
          <w:rFonts w:ascii="Arial" w:hAnsi="Arial" w:cs="Arial"/>
          <w:sz w:val="20"/>
          <w:szCs w:val="20"/>
        </w:rPr>
        <w:t xml:space="preserve"> </w:t>
      </w:r>
    </w:p>
    <w:p w14:paraId="46154593" w14:textId="77777777" w:rsidR="00E7202F" w:rsidRDefault="00E7202F" w:rsidP="00E720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Spółka celowa w rozumieniu ustawy </w:t>
      </w:r>
      <w:r w:rsidRPr="005D4B94">
        <w:rPr>
          <w:rFonts w:ascii="Arial" w:hAnsi="Arial" w:cs="Arial"/>
          <w:sz w:val="20"/>
          <w:szCs w:val="20"/>
        </w:rPr>
        <w:t xml:space="preserve">z dnia 20 lipca 2018 r. Prawo szkolnictwie wyższym i nauce; </w:t>
      </w:r>
    </w:p>
    <w:p w14:paraId="391AFFBB" w14:textId="77777777" w:rsidR="004665F5" w:rsidRPr="00E7202F" w:rsidRDefault="004665F5" w:rsidP="00E7202F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65F5">
        <w:rPr>
          <w:rFonts w:ascii="Arial" w:hAnsi="Arial" w:cs="Arial"/>
          <w:sz w:val="20"/>
          <w:szCs w:val="20"/>
        </w:rPr>
        <w:t>niezależne laboratorium posiadające akredytację Polskiego Centrum Akredytacji</w:t>
      </w:r>
      <w:r>
        <w:rPr>
          <w:rFonts w:ascii="Arial" w:hAnsi="Arial" w:cs="Arial"/>
          <w:sz w:val="20"/>
          <w:szCs w:val="20"/>
        </w:rPr>
        <w:t>;</w:t>
      </w:r>
    </w:p>
    <w:p w14:paraId="5BD16EEA" w14:textId="77777777" w:rsidR="00B060E6" w:rsidRDefault="00B060E6" w:rsidP="005D4B94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4665F5">
        <w:rPr>
          <w:rFonts w:ascii="Arial" w:hAnsi="Arial" w:cs="Arial"/>
          <w:sz w:val="20"/>
          <w:szCs w:val="20"/>
        </w:rPr>
        <w:t>przedsiębiorca posiadający status centrum badawczo-rozwojowego w rozumieniu ustawy</w:t>
      </w:r>
      <w:r w:rsidR="005D4B94" w:rsidRPr="004665F5">
        <w:rPr>
          <w:rFonts w:ascii="Arial" w:hAnsi="Arial" w:cs="Arial"/>
          <w:sz w:val="20"/>
          <w:szCs w:val="20"/>
        </w:rPr>
        <w:t xml:space="preserve"> </w:t>
      </w:r>
      <w:r w:rsidRPr="004665F5">
        <w:rPr>
          <w:rFonts w:ascii="Arial" w:hAnsi="Arial" w:cs="Arial"/>
          <w:sz w:val="20"/>
          <w:szCs w:val="20"/>
        </w:rPr>
        <w:t>z dn. 30 maja 2008 r. o niektórych formach wspierania działalności innowacyjnej,</w:t>
      </w:r>
      <w:r w:rsidR="005D4B94" w:rsidRPr="004665F5">
        <w:rPr>
          <w:rFonts w:ascii="Arial" w:hAnsi="Arial" w:cs="Arial"/>
          <w:sz w:val="20"/>
          <w:szCs w:val="20"/>
        </w:rPr>
        <w:t xml:space="preserve"> </w:t>
      </w:r>
      <w:r w:rsidRPr="004665F5">
        <w:rPr>
          <w:rFonts w:ascii="Arial" w:hAnsi="Arial" w:cs="Arial"/>
          <w:sz w:val="20"/>
          <w:szCs w:val="20"/>
        </w:rPr>
        <w:t>posiadający siedzibę na terytorium RP.</w:t>
      </w:r>
    </w:p>
    <w:p w14:paraId="498F7BF2" w14:textId="77777777" w:rsidR="00F17942" w:rsidRDefault="00A378AB" w:rsidP="00F1794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916B4">
        <w:rPr>
          <w:rFonts w:ascii="Arial" w:hAnsi="Arial" w:cs="Arial"/>
          <w:sz w:val="20"/>
          <w:szCs w:val="20"/>
        </w:rPr>
        <w:t xml:space="preserve">Wykonawca usługi badawczo – rozwojowej musi </w:t>
      </w:r>
      <w:r w:rsidR="00056E2D">
        <w:rPr>
          <w:rFonts w:ascii="Arial" w:hAnsi="Arial" w:cs="Arial"/>
          <w:sz w:val="20"/>
          <w:szCs w:val="20"/>
        </w:rPr>
        <w:t xml:space="preserve">znajdować się ponadto </w:t>
      </w:r>
      <w:r w:rsidR="00F17942" w:rsidRPr="00F17942">
        <w:rPr>
          <w:rFonts w:ascii="Arial" w:hAnsi="Arial" w:cs="Arial"/>
          <w:sz w:val="20"/>
          <w:szCs w:val="20"/>
        </w:rPr>
        <w:t>na liście: Wykaz certyfikowanych jednostek badawczych, dla których Prezes Biura do spraw Substancji Chemicznych stwierdził, w drodze decyzji, spełnianie zasad Dobrej Praktyki Laboratoryjnej</w:t>
      </w:r>
      <w:r w:rsidR="00F17942">
        <w:rPr>
          <w:rFonts w:ascii="Arial" w:hAnsi="Arial" w:cs="Arial"/>
          <w:sz w:val="20"/>
          <w:szCs w:val="20"/>
        </w:rPr>
        <w:t>:</w:t>
      </w:r>
    </w:p>
    <w:p w14:paraId="63B6CB4F" w14:textId="64627635" w:rsidR="00A378AB" w:rsidRPr="00E82A46" w:rsidRDefault="002127F8" w:rsidP="00F1794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hyperlink r:id="rId9" w:history="1">
        <w:r w:rsidR="00F17942" w:rsidRPr="00B2432C">
          <w:rPr>
            <w:rStyle w:val="Hipercze"/>
            <w:rFonts w:ascii="Arial" w:hAnsi="Arial" w:cs="Arial"/>
            <w:sz w:val="20"/>
            <w:szCs w:val="20"/>
          </w:rPr>
          <w:t>https://www.gov.pl/web/chemikalia/laboratoria-certyfikowane</w:t>
        </w:r>
      </w:hyperlink>
      <w:r w:rsidR="00F17942">
        <w:rPr>
          <w:rFonts w:ascii="Arial" w:hAnsi="Arial" w:cs="Arial"/>
          <w:sz w:val="20"/>
          <w:szCs w:val="20"/>
        </w:rPr>
        <w:t xml:space="preserve"> </w:t>
      </w:r>
    </w:p>
    <w:p w14:paraId="76A273BB" w14:textId="7204D4D0" w:rsidR="000E7D62" w:rsidRPr="000E7D62" w:rsidRDefault="00553E66" w:rsidP="000E7D6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B060E6" w:rsidRPr="00B06257">
        <w:rPr>
          <w:rFonts w:ascii="Arial" w:hAnsi="Arial" w:cs="Arial"/>
          <w:sz w:val="20"/>
          <w:szCs w:val="20"/>
        </w:rPr>
        <w:t xml:space="preserve"> </w:t>
      </w:r>
      <w:r w:rsidR="000E7D62">
        <w:rPr>
          <w:rFonts w:ascii="Arial" w:hAnsi="Arial" w:cs="Arial"/>
          <w:sz w:val="20"/>
          <w:szCs w:val="20"/>
        </w:rPr>
        <w:t>m</w:t>
      </w:r>
      <w:r w:rsidR="00BA68DF">
        <w:rPr>
          <w:rFonts w:ascii="Arial" w:hAnsi="Arial" w:cs="Arial"/>
          <w:sz w:val="20"/>
          <w:szCs w:val="20"/>
        </w:rPr>
        <w:t>usi</w:t>
      </w:r>
      <w:r w:rsidR="00B060E6" w:rsidRPr="00B06257">
        <w:rPr>
          <w:rFonts w:ascii="Arial" w:hAnsi="Arial" w:cs="Arial"/>
          <w:sz w:val="20"/>
          <w:szCs w:val="20"/>
        </w:rPr>
        <w:t xml:space="preserve"> włącz</w:t>
      </w:r>
      <w:r w:rsidR="000E7D62">
        <w:rPr>
          <w:rFonts w:ascii="Arial" w:hAnsi="Arial" w:cs="Arial"/>
          <w:sz w:val="20"/>
          <w:szCs w:val="20"/>
        </w:rPr>
        <w:t>yć</w:t>
      </w:r>
      <w:r w:rsidR="00B060E6" w:rsidRPr="00B06257">
        <w:rPr>
          <w:rFonts w:ascii="Arial" w:hAnsi="Arial" w:cs="Arial"/>
          <w:sz w:val="20"/>
          <w:szCs w:val="20"/>
        </w:rPr>
        <w:t xml:space="preserve"> końcowych użytkowników w proces tworzenia </w:t>
      </w:r>
      <w:r w:rsidR="000E7D62">
        <w:rPr>
          <w:rFonts w:ascii="Arial" w:hAnsi="Arial" w:cs="Arial"/>
          <w:sz w:val="20"/>
          <w:szCs w:val="20"/>
        </w:rPr>
        <w:t xml:space="preserve">nowego lub znacząco ulepszonego produktu, usługi lub technologii </w:t>
      </w:r>
      <w:r w:rsidR="000E7D62" w:rsidRPr="000E7D62">
        <w:rPr>
          <w:rFonts w:ascii="Arial" w:hAnsi="Arial" w:cs="Arial"/>
          <w:sz w:val="20"/>
          <w:szCs w:val="20"/>
        </w:rPr>
        <w:t>poprzez ich udział w testowaniu,</w:t>
      </w:r>
    </w:p>
    <w:p w14:paraId="513ECB90" w14:textId="77777777" w:rsidR="000E7D62" w:rsidRPr="000E7D62" w:rsidRDefault="000E7D62" w:rsidP="000E7D6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E7D62">
        <w:rPr>
          <w:rFonts w:ascii="Arial" w:hAnsi="Arial" w:cs="Arial"/>
          <w:sz w:val="20"/>
          <w:szCs w:val="20"/>
        </w:rPr>
        <w:t>recenzowaniu, opiniowaniu, identyfikacji potrzeb w zakresie nowego produktu, usługi</w:t>
      </w:r>
    </w:p>
    <w:p w14:paraId="71142C40" w14:textId="762DCE2C" w:rsidR="00B06257" w:rsidRDefault="000E7D62" w:rsidP="000E7D62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E7D62">
        <w:rPr>
          <w:rFonts w:ascii="Arial" w:hAnsi="Arial" w:cs="Arial"/>
          <w:sz w:val="20"/>
          <w:szCs w:val="20"/>
        </w:rPr>
        <w:t>lub technologii</w:t>
      </w:r>
      <w:r w:rsidR="00BA68DF">
        <w:rPr>
          <w:rFonts w:ascii="Arial" w:hAnsi="Arial" w:cs="Arial"/>
          <w:sz w:val="20"/>
          <w:szCs w:val="20"/>
        </w:rPr>
        <w:t xml:space="preserve"> </w:t>
      </w:r>
      <w:r w:rsidR="00645DB0">
        <w:rPr>
          <w:rFonts w:ascii="Arial" w:hAnsi="Arial" w:cs="Arial"/>
          <w:sz w:val="20"/>
          <w:szCs w:val="20"/>
        </w:rPr>
        <w:t xml:space="preserve">– opis działań dotyczących </w:t>
      </w:r>
      <w:r w:rsidR="00110F95">
        <w:rPr>
          <w:rFonts w:ascii="Arial" w:hAnsi="Arial" w:cs="Arial"/>
          <w:sz w:val="20"/>
          <w:szCs w:val="20"/>
        </w:rPr>
        <w:t>włączenia końcowych użytkowników</w:t>
      </w:r>
      <w:r w:rsidR="00A63F52">
        <w:rPr>
          <w:rFonts w:ascii="Arial" w:hAnsi="Arial" w:cs="Arial"/>
          <w:sz w:val="20"/>
          <w:szCs w:val="20"/>
        </w:rPr>
        <w:t xml:space="preserve">, </w:t>
      </w:r>
      <w:r w:rsidR="00110F95">
        <w:rPr>
          <w:rFonts w:ascii="Arial" w:hAnsi="Arial" w:cs="Arial"/>
          <w:sz w:val="20"/>
          <w:szCs w:val="20"/>
        </w:rPr>
        <w:t>doboru grupy końcowych użytkowników</w:t>
      </w:r>
      <w:r w:rsidR="00A63F52">
        <w:rPr>
          <w:rFonts w:ascii="Arial" w:hAnsi="Arial" w:cs="Arial"/>
          <w:sz w:val="20"/>
          <w:szCs w:val="20"/>
        </w:rPr>
        <w:t xml:space="preserve">, </w:t>
      </w:r>
      <w:r w:rsidR="00110F95">
        <w:rPr>
          <w:rFonts w:ascii="Arial" w:hAnsi="Arial" w:cs="Arial"/>
          <w:sz w:val="20"/>
          <w:szCs w:val="20"/>
        </w:rPr>
        <w:t xml:space="preserve">wykonawca </w:t>
      </w:r>
      <w:r w:rsidR="00A63F52">
        <w:rPr>
          <w:rFonts w:ascii="Arial" w:hAnsi="Arial" w:cs="Arial"/>
          <w:sz w:val="20"/>
          <w:szCs w:val="20"/>
        </w:rPr>
        <w:t>musi</w:t>
      </w:r>
      <w:r w:rsidR="00110F95">
        <w:rPr>
          <w:rFonts w:ascii="Arial" w:hAnsi="Arial" w:cs="Arial"/>
          <w:sz w:val="20"/>
          <w:szCs w:val="20"/>
        </w:rPr>
        <w:t xml:space="preserve"> zaprezentować w treści formularza oferty.</w:t>
      </w:r>
    </w:p>
    <w:p w14:paraId="2DF28465" w14:textId="77777777" w:rsidR="00B06257" w:rsidRDefault="00553E66" w:rsidP="00B060E6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Wykonawca </w:t>
      </w:r>
      <w:r w:rsidR="00B060E6" w:rsidRPr="00B06257">
        <w:rPr>
          <w:rFonts w:ascii="Arial" w:hAnsi="Arial" w:cs="Arial"/>
          <w:sz w:val="20"/>
          <w:szCs w:val="20"/>
        </w:rPr>
        <w:t>musi zagwarantować sposób realizacji usługi badawczej korzystny z punktu widzenia ochrony środowiska poprzez zapewnienie minimalizacji zużycia materiałów, surowców, energii itp. niezbędnych do realizacji usługi badawczej.</w:t>
      </w:r>
    </w:p>
    <w:p w14:paraId="4BCDD4F5" w14:textId="77777777" w:rsidR="00B060E6" w:rsidRPr="008C37BC" w:rsidRDefault="00B060E6" w:rsidP="008C37BC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 xml:space="preserve">Oferta musi być sporządzona na Formularzu ofertowym stanowiącym Załącznik nr 1 do zapytania ofertowego. </w:t>
      </w:r>
    </w:p>
    <w:p w14:paraId="326F92AC" w14:textId="12202423" w:rsidR="00B06257" w:rsidRPr="005E1B70" w:rsidRDefault="00B060E6" w:rsidP="00B060E6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E1B70">
        <w:rPr>
          <w:rFonts w:ascii="Arial" w:hAnsi="Arial" w:cs="Arial"/>
          <w:sz w:val="20"/>
          <w:szCs w:val="20"/>
        </w:rPr>
        <w:t xml:space="preserve">Maksymalny termin zakończenia realizacji usługi to </w:t>
      </w:r>
      <w:r w:rsidR="00C24734">
        <w:rPr>
          <w:rFonts w:ascii="Arial" w:hAnsi="Arial" w:cs="Arial"/>
          <w:b/>
          <w:sz w:val="20"/>
          <w:szCs w:val="20"/>
        </w:rPr>
        <w:t>12</w:t>
      </w:r>
      <w:r w:rsidR="005E1B70" w:rsidRPr="005E1B70">
        <w:rPr>
          <w:rFonts w:ascii="Arial" w:hAnsi="Arial" w:cs="Arial"/>
          <w:b/>
          <w:sz w:val="20"/>
          <w:szCs w:val="20"/>
        </w:rPr>
        <w:t xml:space="preserve"> miesięcy</w:t>
      </w:r>
      <w:r w:rsidR="005E1B70" w:rsidRPr="005E1B70">
        <w:rPr>
          <w:rFonts w:ascii="Arial" w:hAnsi="Arial" w:cs="Arial"/>
          <w:sz w:val="20"/>
          <w:szCs w:val="20"/>
        </w:rPr>
        <w:t xml:space="preserve"> liczonych od zawarcia umowy właściwej. </w:t>
      </w:r>
    </w:p>
    <w:p w14:paraId="7D5A97E3" w14:textId="2271F39C" w:rsidR="000D19AD" w:rsidRPr="006933D1" w:rsidRDefault="000D19AD" w:rsidP="000D19AD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Do niniejszego zapytania ofertowego nie mają zastosowania przepisy Ustawy z dnia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11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września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20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19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r. Prawo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amówień </w:t>
      </w:r>
      <w:r w:rsidR="00AA369A"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ublicznych.</w:t>
      </w:r>
    </w:p>
    <w:p w14:paraId="1781E3A4" w14:textId="77777777" w:rsidR="000D19AD" w:rsidRPr="006933D1" w:rsidRDefault="006933D1" w:rsidP="000D19AD">
      <w:pPr>
        <w:numPr>
          <w:ilvl w:val="0"/>
          <w:numId w:val="7"/>
        </w:numPr>
        <w:shd w:val="clear" w:color="auto" w:fill="FFFFFF"/>
        <w:spacing w:after="225" w:line="24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Zlecający usługę</w:t>
      </w:r>
      <w:r w:rsidR="000D19AD"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nie przewiduje zwrotu kosztów udziału w postępowaniu.</w:t>
      </w:r>
    </w:p>
    <w:p w14:paraId="6D06CDF0" w14:textId="77777777" w:rsidR="000D19AD" w:rsidRPr="006933D1" w:rsidRDefault="000D19AD" w:rsidP="000D19AD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lastRenderedPageBreak/>
        <w:t>Zlec</w:t>
      </w:r>
      <w:r w:rsidR="00B078D4" w:rsidRPr="006933D1">
        <w:rPr>
          <w:rFonts w:ascii="Arial" w:eastAsia="Times New Roman" w:hAnsi="Arial" w:cs="Arial"/>
          <w:sz w:val="20"/>
          <w:szCs w:val="20"/>
          <w:lang w:eastAsia="pl-PL"/>
        </w:rPr>
        <w:t>aj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ący usługę  zastrzega sobie możliwość zmiany zapytania ofertowego przed upływem terminu do składania ofert</w:t>
      </w:r>
      <w:r w:rsidR="00310C13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39175557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after="225" w:line="24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>Postępowanie prowadzone jest w języku polskim.</w:t>
      </w:r>
    </w:p>
    <w:p w14:paraId="4F31CCD6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after="225" w:line="360" w:lineRule="auto"/>
        <w:textAlignment w:val="baseline"/>
        <w:outlineLvl w:val="2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>Zmiany treści zapytania ofertowego oraz wyjaśnienia udzielone przez Zlecającego usługę na zapytania Wykonawców stają się integralną częścią zapytania ofertowego i są wiążące dla Wykonawców.</w:t>
      </w:r>
    </w:p>
    <w:p w14:paraId="448C0C9A" w14:textId="77777777" w:rsidR="00B078D4" w:rsidRPr="006933D1" w:rsidRDefault="00B078D4" w:rsidP="00B078D4">
      <w:pPr>
        <w:numPr>
          <w:ilvl w:val="0"/>
          <w:numId w:val="7"/>
        </w:numPr>
        <w:shd w:val="clear" w:color="auto" w:fill="FFFFFF"/>
        <w:spacing w:line="36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W toku badania i oceny ofert Zlecający usługę może żądać od Wykonawców wyjaśnień dotyczących treści złożonych ofert 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>lub uzupełnienia dokumentó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w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 xml:space="preserve"> składanych wraz z ofertą w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 xml:space="preserve"> określonym terminie. W razie braku złożenia wyjaśnień</w:t>
      </w:r>
      <w:r w:rsidR="008C37BC">
        <w:rPr>
          <w:rFonts w:ascii="Arial" w:eastAsia="Times New Roman" w:hAnsi="Arial" w:cs="Arial"/>
          <w:sz w:val="20"/>
          <w:szCs w:val="20"/>
          <w:lang w:eastAsia="pl-PL"/>
        </w:rPr>
        <w:t xml:space="preserve"> i/lub uzupełnień </w:t>
      </w:r>
      <w:r w:rsidRPr="006933D1">
        <w:rPr>
          <w:rFonts w:ascii="Arial" w:eastAsia="Times New Roman" w:hAnsi="Arial" w:cs="Arial"/>
          <w:sz w:val="20"/>
          <w:szCs w:val="20"/>
          <w:lang w:eastAsia="pl-PL"/>
        </w:rPr>
        <w:t>w określonym terminie oferta zostanie odrzucona.</w:t>
      </w:r>
    </w:p>
    <w:p w14:paraId="4BCC4823" w14:textId="564B6006" w:rsidR="00B060E6" w:rsidRPr="006A73A2" w:rsidRDefault="006A73A2" w:rsidP="006A73A2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</w:t>
      </w:r>
      <w:r w:rsidR="00B060E6" w:rsidRPr="00B06257">
        <w:rPr>
          <w:rFonts w:ascii="Arial" w:hAnsi="Arial" w:cs="Arial"/>
          <w:sz w:val="20"/>
          <w:szCs w:val="20"/>
        </w:rPr>
        <w:t xml:space="preserve"> jest zobowiązany do podpisania umowy przedwstępnej na realizację usługi, </w:t>
      </w:r>
      <w:r>
        <w:rPr>
          <w:rFonts w:ascii="Arial" w:hAnsi="Arial" w:cs="Arial"/>
          <w:sz w:val="20"/>
          <w:szCs w:val="20"/>
        </w:rPr>
        <w:br/>
      </w:r>
      <w:r w:rsidR="00B060E6" w:rsidRPr="006A73A2">
        <w:rPr>
          <w:rFonts w:ascii="Arial" w:hAnsi="Arial" w:cs="Arial"/>
          <w:sz w:val="20"/>
          <w:szCs w:val="20"/>
        </w:rPr>
        <w:t xml:space="preserve">w której zobowiąże się do podpisania umowy właściwej </w:t>
      </w:r>
      <w:r w:rsidR="00B060E6" w:rsidRPr="008C37BC">
        <w:rPr>
          <w:rFonts w:ascii="Arial" w:hAnsi="Arial" w:cs="Arial"/>
          <w:sz w:val="20"/>
          <w:szCs w:val="20"/>
          <w:u w:val="single"/>
        </w:rPr>
        <w:t xml:space="preserve">nie wcześniej niż na dzień następny po dniu złożenia wniosku o </w:t>
      </w:r>
      <w:r w:rsidR="006933D1" w:rsidRPr="008C37BC">
        <w:rPr>
          <w:rFonts w:ascii="Arial" w:hAnsi="Arial" w:cs="Arial"/>
          <w:sz w:val="20"/>
          <w:szCs w:val="20"/>
          <w:u w:val="single"/>
        </w:rPr>
        <w:t>dofinansowanie projektu</w:t>
      </w:r>
      <w:r w:rsidR="006933D1">
        <w:rPr>
          <w:rFonts w:ascii="Arial" w:hAnsi="Arial" w:cs="Arial"/>
          <w:sz w:val="20"/>
          <w:szCs w:val="20"/>
        </w:rPr>
        <w:t xml:space="preserve"> przez Zlecającego usługę</w:t>
      </w:r>
      <w:r w:rsidR="00B060E6" w:rsidRPr="006A73A2">
        <w:rPr>
          <w:rFonts w:ascii="Arial" w:hAnsi="Arial" w:cs="Arial"/>
          <w:sz w:val="20"/>
          <w:szCs w:val="20"/>
        </w:rPr>
        <w:t xml:space="preserve">. Planowany termin podpisania umowy właściwej to </w:t>
      </w:r>
      <w:r w:rsidR="008C37BC">
        <w:rPr>
          <w:rFonts w:ascii="Arial" w:hAnsi="Arial" w:cs="Arial"/>
          <w:sz w:val="20"/>
          <w:szCs w:val="20"/>
        </w:rPr>
        <w:t>kwiecień</w:t>
      </w:r>
      <w:r w:rsidR="00B060E6" w:rsidRPr="006A73A2">
        <w:rPr>
          <w:rFonts w:ascii="Arial" w:hAnsi="Arial" w:cs="Arial"/>
          <w:sz w:val="20"/>
          <w:szCs w:val="20"/>
        </w:rPr>
        <w:t xml:space="preserve"> 202</w:t>
      </w:r>
      <w:r w:rsidR="008C37BC">
        <w:rPr>
          <w:rFonts w:ascii="Arial" w:hAnsi="Arial" w:cs="Arial"/>
          <w:sz w:val="20"/>
          <w:szCs w:val="20"/>
        </w:rPr>
        <w:t>5</w:t>
      </w:r>
      <w:r w:rsidR="00B060E6" w:rsidRPr="006A73A2">
        <w:rPr>
          <w:rFonts w:ascii="Arial" w:hAnsi="Arial" w:cs="Arial"/>
          <w:sz w:val="20"/>
          <w:szCs w:val="20"/>
        </w:rPr>
        <w:t xml:space="preserve"> r.</w:t>
      </w:r>
    </w:p>
    <w:p w14:paraId="76F83889" w14:textId="77777777" w:rsidR="00E7202F" w:rsidRPr="00B06257" w:rsidRDefault="00E7202F" w:rsidP="00E7202F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B9DC719" w14:textId="77777777" w:rsidR="00B06257" w:rsidRPr="00E7202F" w:rsidRDefault="00B06257" w:rsidP="00B060E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I</w:t>
      </w:r>
      <w:r w:rsidR="00B060E6" w:rsidRPr="00E7202F">
        <w:rPr>
          <w:rFonts w:ascii="Arial" w:hAnsi="Arial" w:cs="Arial"/>
          <w:b/>
          <w:sz w:val="20"/>
          <w:szCs w:val="20"/>
        </w:rPr>
        <w:t>nformacja o kryteriach oceny oraz wagach punktowych lub procentowych przypisanych do poszcz</w:t>
      </w:r>
      <w:r w:rsidRPr="00E7202F">
        <w:rPr>
          <w:rFonts w:ascii="Arial" w:hAnsi="Arial" w:cs="Arial"/>
          <w:b/>
          <w:sz w:val="20"/>
          <w:szCs w:val="20"/>
        </w:rPr>
        <w:t xml:space="preserve">ególnych kryteriów oceny oferty. </w:t>
      </w:r>
    </w:p>
    <w:p w14:paraId="5EEBD023" w14:textId="77777777" w:rsidR="00B060E6" w:rsidRDefault="00B060E6" w:rsidP="00B06257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>Przy wyborze najkorzystniejszej oferty Z</w:t>
      </w:r>
      <w:r w:rsidR="006933D1">
        <w:rPr>
          <w:rFonts w:ascii="Arial" w:hAnsi="Arial" w:cs="Arial"/>
          <w:sz w:val="20"/>
          <w:szCs w:val="20"/>
        </w:rPr>
        <w:t xml:space="preserve">lecający usługę </w:t>
      </w:r>
      <w:r w:rsidRPr="00B06257">
        <w:rPr>
          <w:rFonts w:ascii="Arial" w:hAnsi="Arial" w:cs="Arial"/>
          <w:sz w:val="20"/>
          <w:szCs w:val="20"/>
        </w:rPr>
        <w:t>będzie kierować się następującymi kryteriami i ich znaczeniem w każdej części: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"/>
        <w:gridCol w:w="2335"/>
        <w:gridCol w:w="2835"/>
      </w:tblGrid>
      <w:tr w:rsidR="00B06257" w14:paraId="453F3CF4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179CC88D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335" w:type="dxa"/>
            <w:vAlign w:val="center"/>
          </w:tcPr>
          <w:p w14:paraId="74C68A08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Kryterium</w:t>
            </w:r>
          </w:p>
        </w:tc>
        <w:tc>
          <w:tcPr>
            <w:tcW w:w="2835" w:type="dxa"/>
            <w:vAlign w:val="center"/>
          </w:tcPr>
          <w:p w14:paraId="7FAA59AD" w14:textId="349170BD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Maksymalna liczba punktów</w:t>
            </w:r>
            <w:r w:rsidR="00297677">
              <w:rPr>
                <w:rFonts w:ascii="Arial" w:hAnsi="Arial" w:cs="Arial"/>
                <w:sz w:val="20"/>
                <w:szCs w:val="20"/>
              </w:rPr>
              <w:t xml:space="preserve"> (waga)</w:t>
            </w:r>
          </w:p>
        </w:tc>
      </w:tr>
      <w:tr w:rsidR="00B06257" w14:paraId="5D3F916C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26124744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335" w:type="dxa"/>
            <w:vAlign w:val="center"/>
          </w:tcPr>
          <w:p w14:paraId="2644C163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Cena</w:t>
            </w:r>
            <w:r w:rsidR="00310C13">
              <w:rPr>
                <w:rFonts w:ascii="Arial" w:hAnsi="Arial" w:cs="Arial"/>
                <w:sz w:val="20"/>
                <w:szCs w:val="20"/>
              </w:rPr>
              <w:t xml:space="preserve"> (PLN)</w:t>
            </w:r>
          </w:p>
        </w:tc>
        <w:tc>
          <w:tcPr>
            <w:tcW w:w="2835" w:type="dxa"/>
            <w:vAlign w:val="center"/>
          </w:tcPr>
          <w:p w14:paraId="36BBC9F5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 pkt.</w:t>
            </w:r>
          </w:p>
        </w:tc>
      </w:tr>
      <w:tr w:rsidR="00B06257" w14:paraId="3675E946" w14:textId="77777777" w:rsidTr="00B06257">
        <w:trPr>
          <w:trHeight w:hRule="exact" w:val="737"/>
        </w:trPr>
        <w:tc>
          <w:tcPr>
            <w:tcW w:w="495" w:type="dxa"/>
            <w:vAlign w:val="center"/>
          </w:tcPr>
          <w:p w14:paraId="6ABAB8C5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335" w:type="dxa"/>
            <w:vAlign w:val="center"/>
          </w:tcPr>
          <w:p w14:paraId="184F43EC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Termin realizacji usługi</w:t>
            </w:r>
          </w:p>
        </w:tc>
        <w:tc>
          <w:tcPr>
            <w:tcW w:w="2835" w:type="dxa"/>
            <w:vAlign w:val="center"/>
          </w:tcPr>
          <w:p w14:paraId="33ED6CDB" w14:textId="77777777" w:rsidR="00B06257" w:rsidRDefault="00B06257" w:rsidP="00B0625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30 pkt. </w:t>
            </w:r>
          </w:p>
        </w:tc>
      </w:tr>
    </w:tbl>
    <w:p w14:paraId="6482E27E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</w:p>
    <w:p w14:paraId="0C37E13B" w14:textId="77777777" w:rsidR="00B06257" w:rsidRPr="00E7202F" w:rsidRDefault="00B060E6" w:rsidP="00B060E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7202F">
        <w:rPr>
          <w:rFonts w:ascii="Arial" w:hAnsi="Arial" w:cs="Arial"/>
          <w:b/>
          <w:sz w:val="20"/>
          <w:szCs w:val="20"/>
        </w:rPr>
        <w:t>Opis sposobu przyznawania punktacji za spełnienie danego kryterium oceny oferty.</w:t>
      </w:r>
    </w:p>
    <w:p w14:paraId="56C845A9" w14:textId="77777777" w:rsidR="00B06257" w:rsidRDefault="00B06257" w:rsidP="00B06257">
      <w:pPr>
        <w:pStyle w:val="Akapitzlist"/>
        <w:spacing w:line="360" w:lineRule="auto"/>
        <w:ind w:left="425"/>
        <w:jc w:val="both"/>
        <w:rPr>
          <w:rFonts w:ascii="Arial" w:hAnsi="Arial" w:cs="Arial"/>
          <w:sz w:val="20"/>
          <w:szCs w:val="20"/>
        </w:rPr>
      </w:pPr>
    </w:p>
    <w:p w14:paraId="5C254B32" w14:textId="77777777" w:rsidR="00B060E6" w:rsidRPr="00E7202F" w:rsidRDefault="00B060E6" w:rsidP="00B060E6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7202F">
        <w:rPr>
          <w:rFonts w:ascii="Arial" w:hAnsi="Arial" w:cs="Arial"/>
          <w:sz w:val="20"/>
          <w:szCs w:val="20"/>
        </w:rPr>
        <w:t>W kryterium „Cena" najwyższą liczbę punktów (70) otrzyma oferta zawierająca najniższą cenę netto</w:t>
      </w:r>
      <w:r w:rsidR="00310C13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310C13">
        <w:rPr>
          <w:rFonts w:ascii="Arial" w:hAnsi="Arial" w:cs="Arial"/>
          <w:sz w:val="20"/>
          <w:szCs w:val="20"/>
        </w:rPr>
        <w:t>pln</w:t>
      </w:r>
      <w:proofErr w:type="spellEnd"/>
      <w:r w:rsidR="00310C13">
        <w:rPr>
          <w:rFonts w:ascii="Arial" w:hAnsi="Arial" w:cs="Arial"/>
          <w:sz w:val="20"/>
          <w:szCs w:val="20"/>
        </w:rPr>
        <w:t>.</w:t>
      </w:r>
      <w:r w:rsidRPr="00E7202F">
        <w:rPr>
          <w:rFonts w:ascii="Arial" w:hAnsi="Arial" w:cs="Arial"/>
          <w:sz w:val="20"/>
          <w:szCs w:val="20"/>
        </w:rPr>
        <w:t>, a każda kolejna oferta odpowiednio ze wzorem:</w:t>
      </w:r>
    </w:p>
    <w:p w14:paraId="1DC29F19" w14:textId="77777777" w:rsidR="00B060E6" w:rsidRPr="009846D3" w:rsidRDefault="00B06257" w:rsidP="009846D3">
      <w:pPr>
        <w:jc w:val="center"/>
        <w:rPr>
          <w:rFonts w:ascii="Arial" w:hAnsi="Arial" w:cs="Arial"/>
          <w:b/>
          <w:sz w:val="24"/>
          <w:szCs w:val="24"/>
        </w:rPr>
      </w:pPr>
      <w:r w:rsidRPr="009846D3">
        <w:rPr>
          <w:rFonts w:ascii="Arial" w:hAnsi="Arial" w:cs="Arial"/>
          <w:b/>
          <w:sz w:val="24"/>
          <w:szCs w:val="24"/>
        </w:rPr>
        <w:t>P= [</w:t>
      </w:r>
      <w:proofErr w:type="spellStart"/>
      <w:r w:rsidR="00B060E6" w:rsidRPr="009846D3">
        <w:rPr>
          <w:rFonts w:ascii="Arial" w:hAnsi="Arial" w:cs="Arial"/>
          <w:b/>
          <w:sz w:val="24"/>
          <w:szCs w:val="24"/>
        </w:rPr>
        <w:t>C</w:t>
      </w:r>
      <w:r w:rsidR="00B060E6" w:rsidRPr="009846D3">
        <w:rPr>
          <w:rFonts w:ascii="Arial" w:hAnsi="Arial" w:cs="Arial"/>
          <w:b/>
          <w:sz w:val="24"/>
          <w:szCs w:val="24"/>
          <w:vertAlign w:val="subscript"/>
        </w:rPr>
        <w:t>min</w:t>
      </w:r>
      <w:proofErr w:type="spellEnd"/>
      <w:r w:rsidR="00B060E6" w:rsidRPr="009846D3">
        <w:rPr>
          <w:rFonts w:ascii="Arial" w:hAnsi="Arial" w:cs="Arial"/>
          <w:b/>
          <w:sz w:val="24"/>
          <w:szCs w:val="24"/>
        </w:rPr>
        <w:t>/C] x Z</w:t>
      </w:r>
    </w:p>
    <w:p w14:paraId="4E5E4511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gdzie:</w:t>
      </w:r>
    </w:p>
    <w:p w14:paraId="118C85DB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r w:rsidRPr="009846D3">
        <w:rPr>
          <w:rFonts w:ascii="Arial" w:hAnsi="Arial" w:cs="Arial"/>
          <w:b/>
          <w:sz w:val="24"/>
          <w:szCs w:val="24"/>
        </w:rPr>
        <w:t>P</w:t>
      </w:r>
      <w:r w:rsidRPr="005D4B94">
        <w:rPr>
          <w:rFonts w:ascii="Arial" w:hAnsi="Arial" w:cs="Arial"/>
          <w:sz w:val="20"/>
          <w:szCs w:val="20"/>
        </w:rPr>
        <w:t xml:space="preserve"> - liczba otrzymanych punktów w kryterium </w:t>
      </w:r>
    </w:p>
    <w:p w14:paraId="56F7CC84" w14:textId="77777777" w:rsidR="00B060E6" w:rsidRPr="005D4B94" w:rsidRDefault="00B060E6" w:rsidP="00B060E6">
      <w:pPr>
        <w:rPr>
          <w:rFonts w:ascii="Arial" w:hAnsi="Arial" w:cs="Arial"/>
          <w:sz w:val="20"/>
          <w:szCs w:val="20"/>
        </w:rPr>
      </w:pPr>
      <w:proofErr w:type="spellStart"/>
      <w:r w:rsidRPr="009846D3">
        <w:rPr>
          <w:rFonts w:ascii="Arial" w:hAnsi="Arial" w:cs="Arial"/>
          <w:b/>
          <w:sz w:val="24"/>
          <w:szCs w:val="24"/>
        </w:rPr>
        <w:t>C</w:t>
      </w:r>
      <w:r w:rsidRPr="009846D3">
        <w:rPr>
          <w:rFonts w:ascii="Arial" w:hAnsi="Arial" w:cs="Arial"/>
          <w:b/>
          <w:sz w:val="24"/>
          <w:szCs w:val="24"/>
          <w:vertAlign w:val="subscript"/>
        </w:rPr>
        <w:t>min</w:t>
      </w:r>
      <w:proofErr w:type="spellEnd"/>
      <w:r w:rsidRPr="005D4B94">
        <w:rPr>
          <w:rFonts w:ascii="Arial" w:hAnsi="Arial" w:cs="Arial"/>
          <w:sz w:val="20"/>
          <w:szCs w:val="20"/>
        </w:rPr>
        <w:t xml:space="preserve"> - najniższa cena wśród zaproponowanych </w:t>
      </w:r>
    </w:p>
    <w:p w14:paraId="6C348F22" w14:textId="77777777" w:rsidR="00297677" w:rsidRDefault="00B060E6" w:rsidP="00E7202F">
      <w:pPr>
        <w:rPr>
          <w:rFonts w:ascii="Arial" w:hAnsi="Arial" w:cs="Arial"/>
          <w:sz w:val="20"/>
          <w:szCs w:val="20"/>
        </w:rPr>
      </w:pPr>
      <w:r w:rsidRPr="009846D3">
        <w:rPr>
          <w:rFonts w:ascii="Arial" w:hAnsi="Arial" w:cs="Arial"/>
          <w:b/>
          <w:sz w:val="24"/>
          <w:szCs w:val="24"/>
        </w:rPr>
        <w:lastRenderedPageBreak/>
        <w:t>C</w:t>
      </w:r>
      <w:r w:rsidRPr="005D4B94">
        <w:rPr>
          <w:rFonts w:ascii="Arial" w:hAnsi="Arial" w:cs="Arial"/>
          <w:sz w:val="20"/>
          <w:szCs w:val="20"/>
        </w:rPr>
        <w:t xml:space="preserve"> - cena w bada</w:t>
      </w:r>
      <w:r w:rsidR="00E7202F">
        <w:rPr>
          <w:rFonts w:ascii="Arial" w:hAnsi="Arial" w:cs="Arial"/>
          <w:sz w:val="20"/>
          <w:szCs w:val="20"/>
        </w:rPr>
        <w:t xml:space="preserve">nej ofercie </w:t>
      </w:r>
    </w:p>
    <w:p w14:paraId="7B6DD95D" w14:textId="00A8F10F" w:rsidR="00B06257" w:rsidRDefault="00E7202F" w:rsidP="00E7202F">
      <w:pPr>
        <w:rPr>
          <w:rFonts w:ascii="Arial" w:hAnsi="Arial" w:cs="Arial"/>
          <w:sz w:val="20"/>
          <w:szCs w:val="20"/>
        </w:rPr>
      </w:pPr>
      <w:r w:rsidRPr="00297677">
        <w:rPr>
          <w:rFonts w:ascii="Arial" w:hAnsi="Arial" w:cs="Arial"/>
          <w:b/>
          <w:sz w:val="20"/>
          <w:szCs w:val="20"/>
        </w:rPr>
        <w:t>Z</w:t>
      </w:r>
      <w:r>
        <w:rPr>
          <w:rFonts w:ascii="Arial" w:hAnsi="Arial" w:cs="Arial"/>
          <w:sz w:val="20"/>
          <w:szCs w:val="20"/>
        </w:rPr>
        <w:t xml:space="preserve"> - waga kryterium.</w:t>
      </w:r>
    </w:p>
    <w:p w14:paraId="4038B6D4" w14:textId="77777777" w:rsidR="00E7202F" w:rsidRDefault="00310C13" w:rsidP="00E7202F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Ofertę należy podać w walucie polskiej. Wskazanie innej waluty skutkowało będzie odrzuceniem oferty.</w:t>
      </w:r>
    </w:p>
    <w:p w14:paraId="5ACAA82C" w14:textId="77777777" w:rsidR="00B060E6" w:rsidRPr="005D4B94" w:rsidRDefault="00B060E6" w:rsidP="00E7202F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5D4B94">
        <w:rPr>
          <w:rFonts w:ascii="Arial" w:hAnsi="Arial" w:cs="Arial"/>
          <w:sz w:val="20"/>
          <w:szCs w:val="20"/>
        </w:rPr>
        <w:t>W kryterium „Termin realizacji usługi" oferty będą mogły uzyskać następujące ilości punktów:</w:t>
      </w:r>
    </w:p>
    <w:p w14:paraId="2BA292ED" w14:textId="00E6294C" w:rsidR="00B060E6" w:rsidRPr="00B06257" w:rsidRDefault="00B060E6" w:rsidP="00B06257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 w:rsidRPr="00B06257">
        <w:rPr>
          <w:rFonts w:ascii="Arial" w:hAnsi="Arial" w:cs="Arial"/>
          <w:sz w:val="20"/>
          <w:szCs w:val="20"/>
        </w:rPr>
        <w:t xml:space="preserve">do </w:t>
      </w:r>
      <w:r w:rsidR="00EA5E38">
        <w:rPr>
          <w:rFonts w:ascii="Arial" w:hAnsi="Arial" w:cs="Arial"/>
          <w:sz w:val="20"/>
          <w:szCs w:val="20"/>
        </w:rPr>
        <w:t>9</w:t>
      </w:r>
      <w:r w:rsidRPr="00B06257">
        <w:rPr>
          <w:rFonts w:ascii="Arial" w:hAnsi="Arial" w:cs="Arial"/>
          <w:sz w:val="20"/>
          <w:szCs w:val="20"/>
        </w:rPr>
        <w:t xml:space="preserve"> m-</w:t>
      </w:r>
      <w:proofErr w:type="spellStart"/>
      <w:r w:rsidRPr="00B06257">
        <w:rPr>
          <w:rFonts w:ascii="Arial" w:hAnsi="Arial" w:cs="Arial"/>
          <w:sz w:val="20"/>
          <w:szCs w:val="20"/>
        </w:rPr>
        <w:t>cy</w:t>
      </w:r>
      <w:proofErr w:type="spellEnd"/>
      <w:r w:rsidRPr="00B06257">
        <w:rPr>
          <w:rFonts w:ascii="Arial" w:hAnsi="Arial" w:cs="Arial"/>
          <w:sz w:val="20"/>
          <w:szCs w:val="20"/>
        </w:rPr>
        <w:t xml:space="preserve"> od daty podpisania umowy właściwej (przyrzeczonej) = 30 pkt.</w:t>
      </w:r>
    </w:p>
    <w:p w14:paraId="16EB5A01" w14:textId="14A132F9" w:rsidR="00B060E6" w:rsidRDefault="00E80828" w:rsidP="00B06257">
      <w:pPr>
        <w:pStyle w:val="Akapitzlist"/>
        <w:numPr>
          <w:ilvl w:val="0"/>
          <w:numId w:val="10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od </w:t>
      </w:r>
      <w:r w:rsidR="0026332B">
        <w:rPr>
          <w:rFonts w:ascii="Arial" w:hAnsi="Arial" w:cs="Arial"/>
          <w:sz w:val="20"/>
          <w:szCs w:val="20"/>
        </w:rPr>
        <w:t>9</w:t>
      </w:r>
      <w:r w:rsidR="00EA5E38">
        <w:rPr>
          <w:rFonts w:ascii="Arial" w:hAnsi="Arial" w:cs="Arial"/>
          <w:sz w:val="20"/>
          <w:szCs w:val="20"/>
        </w:rPr>
        <w:t xml:space="preserve"> - 12</w:t>
      </w:r>
      <w:r w:rsidR="00B060E6" w:rsidRPr="00B06257">
        <w:rPr>
          <w:rFonts w:ascii="Arial" w:hAnsi="Arial" w:cs="Arial"/>
          <w:sz w:val="20"/>
          <w:szCs w:val="20"/>
        </w:rPr>
        <w:t xml:space="preserve"> m-</w:t>
      </w:r>
      <w:proofErr w:type="spellStart"/>
      <w:r w:rsidR="00B060E6" w:rsidRPr="00B06257">
        <w:rPr>
          <w:rFonts w:ascii="Arial" w:hAnsi="Arial" w:cs="Arial"/>
          <w:sz w:val="20"/>
          <w:szCs w:val="20"/>
        </w:rPr>
        <w:t>cy</w:t>
      </w:r>
      <w:proofErr w:type="spellEnd"/>
      <w:r w:rsidR="00B060E6" w:rsidRPr="00B06257">
        <w:rPr>
          <w:rFonts w:ascii="Arial" w:hAnsi="Arial" w:cs="Arial"/>
          <w:sz w:val="20"/>
          <w:szCs w:val="20"/>
        </w:rPr>
        <w:t xml:space="preserve"> od daty podpisania umowy właściwej (przyrzeczonej) = 0 pkt. </w:t>
      </w:r>
    </w:p>
    <w:p w14:paraId="5DE88BEA" w14:textId="77777777" w:rsidR="00E7202F" w:rsidRPr="00E7202F" w:rsidRDefault="00E7202F" w:rsidP="00E7202F">
      <w:pPr>
        <w:pStyle w:val="Akapitzlist"/>
        <w:spacing w:line="360" w:lineRule="auto"/>
        <w:rPr>
          <w:rFonts w:ascii="Arial" w:hAnsi="Arial" w:cs="Arial"/>
          <w:sz w:val="20"/>
          <w:szCs w:val="20"/>
        </w:rPr>
      </w:pPr>
    </w:p>
    <w:p w14:paraId="3D4C68A6" w14:textId="77777777" w:rsidR="00505B1E" w:rsidRPr="00E82A46" w:rsidRDefault="00505B1E" w:rsidP="00E82A46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E82A46">
        <w:rPr>
          <w:b/>
        </w:rPr>
        <w:t xml:space="preserve">Informacja </w:t>
      </w:r>
      <w:r w:rsidRPr="00E82A46">
        <w:rPr>
          <w:rFonts w:cstheme="minorHAnsi"/>
          <w:b/>
        </w:rPr>
        <w:t>o braku powiązań kapitałowych lub osobowych z</w:t>
      </w:r>
      <w:r w:rsidR="00C864B0">
        <w:rPr>
          <w:rFonts w:cstheme="minorHAnsi"/>
          <w:b/>
        </w:rPr>
        <w:t>e Zlecającym usługę</w:t>
      </w:r>
      <w:r w:rsidRPr="00E82A46">
        <w:rPr>
          <w:rFonts w:cstheme="minorHAnsi"/>
          <w:b/>
        </w:rPr>
        <w:t xml:space="preserve"> oraz braku wystąpienia okoliczności wskazanych w art. 7 ust. 1 ustawy z dn. 13.04.2022 r. o szczególnych rozwiązaniach w zakresie przeciwdziałania wspierania agresji na Ukrainę oraz służących ochronie bezpieczeństwa narodowego.</w:t>
      </w:r>
    </w:p>
    <w:p w14:paraId="37577D93" w14:textId="77777777" w:rsidR="00505B1E" w:rsidRPr="00271D58" w:rsidRDefault="00505B1E" w:rsidP="00505B1E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32793F01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 xml:space="preserve">Z udziału w postępowaniu zostaną wykluczeni Wykonawcy powiązani </w:t>
      </w:r>
      <w:r w:rsidR="00E82A46">
        <w:t>ze Zlecającym usługę</w:t>
      </w:r>
      <w:r>
        <w:t xml:space="preserve"> osobowo lub kapitałowo, przy czym przez powiązania kapitałowe lub osobowe rozumie się wzajemne powiązania między Z</w:t>
      </w:r>
      <w:r w:rsidR="00C864B0">
        <w:t>lecającym usługę</w:t>
      </w:r>
      <w:r>
        <w:t xml:space="preserve"> lub osobami upoważnionymi do zaciągania zobowiązań w imieniu Z</w:t>
      </w:r>
      <w:r w:rsidR="00E82A46">
        <w:t>lecającego usługę</w:t>
      </w:r>
      <w:r>
        <w:t xml:space="preserve"> lub osobami wykonującymi w imieniu Z</w:t>
      </w:r>
      <w:r w:rsidR="00E82A46">
        <w:t>lecającego usługę</w:t>
      </w:r>
      <w:r>
        <w:t xml:space="preserve"> czynności związane z przeprowadzeniem procedury wyboru Wykonawcy, a Wykonawcą polegające w szczególności na:</w:t>
      </w:r>
    </w:p>
    <w:p w14:paraId="7072D197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uczestniczeni</w:t>
      </w:r>
      <w:r>
        <w:t>u</w:t>
      </w:r>
      <w:r w:rsidRPr="00343D27">
        <w:t xml:space="preserve"> w spółce jako wspólnik spółki cywilnej lub spółki osobowej; </w:t>
      </w:r>
    </w:p>
    <w:p w14:paraId="7FDF91F3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posiadani</w:t>
      </w:r>
      <w:r>
        <w:t>u</w:t>
      </w:r>
      <w:r w:rsidRPr="00343D27">
        <w:t xml:space="preserve"> co najmniej 10% udziałów lub akcji (o ile niższy próg nie wynika z przepisów prawa); </w:t>
      </w:r>
    </w:p>
    <w:p w14:paraId="3EEF2079" w14:textId="77777777" w:rsidR="00505B1E" w:rsidRPr="00343D27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pełnieni</w:t>
      </w:r>
      <w:r>
        <w:t>u</w:t>
      </w:r>
      <w:r w:rsidRPr="00343D27">
        <w:t xml:space="preserve"> funkcji członka organu nadzorczego lub zarządzającego, prokurenta, pełnomocnika; </w:t>
      </w:r>
    </w:p>
    <w:p w14:paraId="76BD8BE9" w14:textId="77777777" w:rsidR="00505B1E" w:rsidRDefault="00505B1E" w:rsidP="00505B1E">
      <w:pPr>
        <w:spacing w:after="0" w:line="300" w:lineRule="auto"/>
        <w:jc w:val="both"/>
      </w:pPr>
      <w:r>
        <w:t xml:space="preserve">- </w:t>
      </w:r>
      <w:r w:rsidRPr="00343D27">
        <w:t>pozostawani</w:t>
      </w:r>
      <w:r>
        <w:t>u</w:t>
      </w:r>
      <w:r w:rsidRPr="00343D27">
        <w:t xml:space="preserve"> w związku małżeńskim, w stosunku pokrewieństwa lub powinowactwa w linii prostej, pokrewieństwa lub powinowactwa w linii bocznej do drugiego stopnia, lub związanie z tytułu przysposobienia, opieki lub kurateli albo pozostawanie we wspólnym pożyciu z wykonawcą, jego zastępcą prawnym lub członkami organów zarządzających lub organów nadzorczych wykonawców ubiegających się o udzielenie zamówienia; </w:t>
      </w:r>
    </w:p>
    <w:p w14:paraId="60AD4E32" w14:textId="77777777" w:rsidR="00505B1E" w:rsidRDefault="00505B1E" w:rsidP="00505B1E">
      <w:pPr>
        <w:spacing w:after="0" w:line="300" w:lineRule="auto"/>
        <w:jc w:val="both"/>
      </w:pPr>
      <w:r>
        <w:t>-</w:t>
      </w:r>
      <w:r w:rsidRPr="00343D27">
        <w:t xml:space="preserve"> pozostawani</w:t>
      </w:r>
      <w:r>
        <w:t>u</w:t>
      </w:r>
      <w:r w:rsidRPr="00343D27">
        <w:t xml:space="preserve"> z wykonawcą w takim stosunku prawnym lub faktycznym, że istnieje uzasadniona wątpliwość co do ich bezstronności lub niezależności w związku z postępowaniem o udzielenie zamówienia. </w:t>
      </w:r>
    </w:p>
    <w:p w14:paraId="739DCB5F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 xml:space="preserve">Z udziału w postępowaniu zostają wykluczeni wykonawcy, wobec których zachodzą okoliczności wskazane w </w:t>
      </w:r>
      <w:r w:rsidRPr="00E400ED">
        <w:t>art. 7 ust. 1 ustawy z dn. 13.04.2022 o szczególnych rozwiązaniach w zakresie przeciwdziałania wspierania agresji na Ukrainę oraz służących ochronie bezpieczeństwa narodowego.</w:t>
      </w:r>
    </w:p>
    <w:p w14:paraId="078FFB58" w14:textId="77777777" w:rsidR="00505B1E" w:rsidRPr="00682599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 w:rsidRPr="00682599">
        <w:t>W przypadku ujawnienia</w:t>
      </w:r>
      <w:r>
        <w:t xml:space="preserve"> </w:t>
      </w:r>
      <w:r w:rsidRPr="00682599">
        <w:t>powiązań kapitałowych lub osobowych pomiędzy Wykonawcą, a Z</w:t>
      </w:r>
      <w:r w:rsidR="00E82A46">
        <w:t>lecającym usługę</w:t>
      </w:r>
      <w:r>
        <w:t xml:space="preserve"> lub wskazania, iż wobec wykonawcy zachodzą okoliczności ujęte w art. 7 ust 1 ustawy z dn. 13.04.2022 r. o szczególnych rozwiązaniach w zakresie przeciwdziałania wspierania agresji na Ukrainę oraz służących ochronie bezpieczeństwa narodowego, </w:t>
      </w:r>
      <w:r w:rsidRPr="00682599">
        <w:t>zamówienie nie może być Wykonawcy udzielone.</w:t>
      </w:r>
    </w:p>
    <w:p w14:paraId="39AA0DF3" w14:textId="4AF706A8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lastRenderedPageBreak/>
        <w:t xml:space="preserve">W celu wykazania braku istnienia przesłanek, o których mowa w ust. 1 i 2, będących podstawą wykluczenia Wykonawcy z udziału w postępowaniu o udzielenie zamówienia, Wykonawca zobowiązany jest do złożenia wraz z Formularzem Oferty oświadczenia o braku powiązań kapitałowych lub osobowych, zgodnie ze wzorem stanowiącym załącznik nr </w:t>
      </w:r>
      <w:r w:rsidR="00AA369A">
        <w:t>2</w:t>
      </w:r>
      <w:r>
        <w:t xml:space="preserve"> do niniejszego Zapytania oraz oświadczenia dot. sankcji, zgodnie ze wzorem stanowiącym załącznik nr </w:t>
      </w:r>
      <w:r w:rsidR="00AA369A">
        <w:t>3</w:t>
      </w:r>
      <w:r>
        <w:t xml:space="preserve"> do niniejszego Zapytania.</w:t>
      </w:r>
    </w:p>
    <w:p w14:paraId="4BE5F8D8" w14:textId="77777777" w:rsidR="00505B1E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</w:pPr>
      <w:r>
        <w:t>Z</w:t>
      </w:r>
      <w:r w:rsidR="00E82A46">
        <w:t>lecający usługę</w:t>
      </w:r>
      <w:r>
        <w:t xml:space="preserve"> może wykluczyć Wykonawcę na każdym etapie postępowania o udzielenie zamówienia.</w:t>
      </w:r>
    </w:p>
    <w:p w14:paraId="508860F1" w14:textId="1B9E2A39" w:rsidR="00505B1E" w:rsidRPr="00AA369A" w:rsidRDefault="00505B1E" w:rsidP="00505B1E">
      <w:pPr>
        <w:pStyle w:val="Akapitzlist"/>
        <w:numPr>
          <w:ilvl w:val="0"/>
          <w:numId w:val="26"/>
        </w:numPr>
        <w:spacing w:after="0" w:line="300" w:lineRule="auto"/>
        <w:ind w:left="0" w:firstLine="0"/>
        <w:jc w:val="both"/>
        <w:rPr>
          <w:b/>
        </w:rPr>
      </w:pPr>
      <w:r w:rsidRPr="00AA369A">
        <w:rPr>
          <w:b/>
        </w:rPr>
        <w:t>Oferta wykonawcy, który nie wykaże, iż spełnia warunk</w:t>
      </w:r>
      <w:r w:rsidR="00E82A46" w:rsidRPr="00AA369A">
        <w:rPr>
          <w:b/>
        </w:rPr>
        <w:t>i</w:t>
      </w:r>
      <w:r w:rsidRPr="00AA369A">
        <w:rPr>
          <w:b/>
        </w:rPr>
        <w:t xml:space="preserve"> udziału w postępowaniu</w:t>
      </w:r>
      <w:r w:rsidR="00E82A46" w:rsidRPr="00AA369A">
        <w:rPr>
          <w:b/>
        </w:rPr>
        <w:t xml:space="preserve"> określone w </w:t>
      </w:r>
      <w:r w:rsidR="000E7D62" w:rsidRPr="00AA369A">
        <w:rPr>
          <w:b/>
        </w:rPr>
        <w:t xml:space="preserve">pkt 3 </w:t>
      </w:r>
      <w:proofErr w:type="spellStart"/>
      <w:r w:rsidR="000E7D62" w:rsidRPr="00AA369A">
        <w:rPr>
          <w:b/>
        </w:rPr>
        <w:t>ppkt</w:t>
      </w:r>
      <w:proofErr w:type="spellEnd"/>
      <w:r w:rsidR="000E7D62" w:rsidRPr="00AA369A">
        <w:rPr>
          <w:b/>
        </w:rPr>
        <w:t xml:space="preserve"> 1</w:t>
      </w:r>
      <w:r w:rsidR="00110F95" w:rsidRPr="00AA369A">
        <w:rPr>
          <w:b/>
        </w:rPr>
        <w:t xml:space="preserve"> i 2</w:t>
      </w:r>
      <w:r w:rsidRPr="00AA369A">
        <w:rPr>
          <w:b/>
        </w:rPr>
        <w:t xml:space="preserve"> zostanie odrzucona</w:t>
      </w:r>
      <w:r w:rsidR="000E7D62" w:rsidRPr="00AA369A">
        <w:rPr>
          <w:b/>
        </w:rPr>
        <w:t xml:space="preserve">. </w:t>
      </w:r>
    </w:p>
    <w:p w14:paraId="1AFBDBAA" w14:textId="77777777" w:rsidR="008471C2" w:rsidRPr="00B06257" w:rsidRDefault="008471C2" w:rsidP="00B06257">
      <w:pPr>
        <w:pStyle w:val="Akapitzlist"/>
        <w:spacing w:line="360" w:lineRule="auto"/>
        <w:ind w:left="1134"/>
        <w:jc w:val="both"/>
        <w:rPr>
          <w:rFonts w:ascii="Arial" w:hAnsi="Arial" w:cs="Arial"/>
          <w:sz w:val="20"/>
          <w:szCs w:val="20"/>
        </w:rPr>
      </w:pPr>
    </w:p>
    <w:p w14:paraId="4B26C1A1" w14:textId="77777777" w:rsidR="00B060E6" w:rsidRPr="00F531EA" w:rsidRDefault="00B060E6" w:rsidP="00B06257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rFonts w:ascii="Arial" w:hAnsi="Arial" w:cs="Arial"/>
          <w:b/>
          <w:sz w:val="20"/>
          <w:szCs w:val="20"/>
        </w:rPr>
      </w:pPr>
      <w:r w:rsidRPr="00F531EA">
        <w:rPr>
          <w:rFonts w:ascii="Arial" w:hAnsi="Arial" w:cs="Arial"/>
          <w:b/>
          <w:sz w:val="20"/>
          <w:szCs w:val="20"/>
        </w:rPr>
        <w:t>Wykaz dokumentów oraz oświadczeń niezbędnych do złożenia wraz z ofertą</w:t>
      </w:r>
    </w:p>
    <w:p w14:paraId="28DF1229" w14:textId="5340605A" w:rsidR="008471C2" w:rsidRPr="008471C2" w:rsidRDefault="00B060E6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471C2">
        <w:rPr>
          <w:rFonts w:ascii="Arial" w:hAnsi="Arial" w:cs="Arial"/>
          <w:sz w:val="20"/>
          <w:szCs w:val="20"/>
        </w:rPr>
        <w:t>Formularz ofertowy stanowiący Załącznik nr 1 do zapytania ofertowego</w:t>
      </w:r>
      <w:r w:rsidR="003B11ED">
        <w:rPr>
          <w:rFonts w:ascii="Arial" w:hAnsi="Arial" w:cs="Arial"/>
          <w:sz w:val="20"/>
          <w:szCs w:val="20"/>
        </w:rPr>
        <w:t>;</w:t>
      </w:r>
    </w:p>
    <w:p w14:paraId="73E8575E" w14:textId="77777777" w:rsidR="004178D9" w:rsidRDefault="004178D9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Oświadczenie o </w:t>
      </w:r>
      <w:r w:rsidR="00A456D9">
        <w:rPr>
          <w:rFonts w:ascii="Arial" w:hAnsi="Arial" w:cs="Arial"/>
          <w:sz w:val="20"/>
          <w:szCs w:val="20"/>
        </w:rPr>
        <w:t>braku powiązań osobowych i kapitałowych ze Zlecającym usługę;</w:t>
      </w:r>
    </w:p>
    <w:p w14:paraId="336CB240" w14:textId="4D8CB3E4" w:rsidR="00A456D9" w:rsidRDefault="00A456D9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Oświadczenie dot. sankcji</w:t>
      </w:r>
      <w:r w:rsidR="000E7D62">
        <w:rPr>
          <w:rFonts w:ascii="Arial" w:hAnsi="Arial" w:cs="Arial"/>
          <w:sz w:val="20"/>
          <w:szCs w:val="20"/>
        </w:rPr>
        <w:t>, stanowiące załącznik nr 4 do niniejszego zapytania ofertowego</w:t>
      </w:r>
      <w:r w:rsidR="00297677">
        <w:rPr>
          <w:rFonts w:ascii="Arial" w:hAnsi="Arial" w:cs="Arial"/>
          <w:sz w:val="20"/>
          <w:szCs w:val="20"/>
        </w:rPr>
        <w:t>;</w:t>
      </w:r>
      <w:r w:rsidR="000E7D62">
        <w:rPr>
          <w:rFonts w:ascii="Arial" w:hAnsi="Arial" w:cs="Arial"/>
          <w:sz w:val="20"/>
          <w:szCs w:val="20"/>
        </w:rPr>
        <w:t xml:space="preserve"> </w:t>
      </w:r>
    </w:p>
    <w:p w14:paraId="1746DEA6" w14:textId="4D98B6A1" w:rsidR="004076DC" w:rsidRDefault="004B74DF" w:rsidP="008471C2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Dokumenty potwierdzające status wykonawcy </w:t>
      </w:r>
      <w:r w:rsidR="00FB52BF">
        <w:rPr>
          <w:rFonts w:ascii="Arial" w:hAnsi="Arial" w:cs="Arial"/>
          <w:sz w:val="20"/>
          <w:szCs w:val="20"/>
        </w:rPr>
        <w:t xml:space="preserve">określony w pkt 3 </w:t>
      </w:r>
      <w:proofErr w:type="spellStart"/>
      <w:r w:rsidR="00FB52BF">
        <w:rPr>
          <w:rFonts w:ascii="Arial" w:hAnsi="Arial" w:cs="Arial"/>
          <w:sz w:val="20"/>
          <w:szCs w:val="20"/>
        </w:rPr>
        <w:t>ppkt</w:t>
      </w:r>
      <w:proofErr w:type="spellEnd"/>
      <w:r w:rsidR="00FB52BF">
        <w:rPr>
          <w:rFonts w:ascii="Arial" w:hAnsi="Arial" w:cs="Arial"/>
          <w:sz w:val="20"/>
          <w:szCs w:val="20"/>
        </w:rPr>
        <w:t xml:space="preserve"> 1</w:t>
      </w:r>
      <w:r w:rsidR="001102AA">
        <w:rPr>
          <w:rFonts w:ascii="Arial" w:hAnsi="Arial" w:cs="Arial"/>
          <w:sz w:val="20"/>
          <w:szCs w:val="20"/>
        </w:rPr>
        <w:t xml:space="preserve"> tj.</w:t>
      </w:r>
      <w:r w:rsidR="00E80828">
        <w:rPr>
          <w:rFonts w:ascii="Arial" w:hAnsi="Arial" w:cs="Arial"/>
          <w:sz w:val="20"/>
          <w:szCs w:val="20"/>
        </w:rPr>
        <w:t xml:space="preserve"> odpis</w:t>
      </w:r>
      <w:r w:rsidR="001102AA">
        <w:rPr>
          <w:rFonts w:ascii="Arial" w:hAnsi="Arial" w:cs="Arial"/>
          <w:sz w:val="20"/>
          <w:szCs w:val="20"/>
        </w:rPr>
        <w:t xml:space="preserve"> z KRS, decyzje administracyjne, akredytacje, certyfikaty etc.</w:t>
      </w:r>
    </w:p>
    <w:p w14:paraId="6BFF19E3" w14:textId="2AAC75A9" w:rsidR="00D71102" w:rsidRPr="00110F95" w:rsidRDefault="001102AA" w:rsidP="00110F95">
      <w:pPr>
        <w:pStyle w:val="Akapitzlist"/>
        <w:numPr>
          <w:ilvl w:val="0"/>
          <w:numId w:val="2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Certyfikat</w:t>
      </w:r>
      <w:r w:rsidR="00F17942">
        <w:rPr>
          <w:rFonts w:ascii="Arial" w:hAnsi="Arial" w:cs="Arial"/>
          <w:sz w:val="20"/>
          <w:szCs w:val="20"/>
        </w:rPr>
        <w:t>/decyzja</w:t>
      </w:r>
      <w:r>
        <w:rPr>
          <w:rFonts w:ascii="Arial" w:hAnsi="Arial" w:cs="Arial"/>
          <w:sz w:val="20"/>
          <w:szCs w:val="20"/>
        </w:rPr>
        <w:t xml:space="preserve"> </w:t>
      </w:r>
      <w:r w:rsidR="00BA68DF" w:rsidRPr="00BA68DF">
        <w:rPr>
          <w:rFonts w:ascii="Arial" w:hAnsi="Arial" w:cs="Arial"/>
          <w:sz w:val="20"/>
          <w:szCs w:val="20"/>
        </w:rPr>
        <w:t>potwierdzający</w:t>
      </w:r>
      <w:r w:rsidR="00F17942">
        <w:rPr>
          <w:rFonts w:ascii="Arial" w:hAnsi="Arial" w:cs="Arial"/>
          <w:sz w:val="20"/>
          <w:szCs w:val="20"/>
        </w:rPr>
        <w:t>/a</w:t>
      </w:r>
      <w:r w:rsidR="00BA68DF" w:rsidRPr="00BA68DF">
        <w:rPr>
          <w:rFonts w:ascii="Arial" w:hAnsi="Arial" w:cs="Arial"/>
          <w:sz w:val="20"/>
          <w:szCs w:val="20"/>
        </w:rPr>
        <w:t xml:space="preserve"> wpis na listę certyfikowanych jednostek badawczych prowadzonych przez Urząd Rejestracji Produktów Leczniczych, Wyrobów Medycznych i Produktów Biobójczych (URPB)</w:t>
      </w:r>
      <w:r w:rsidR="00BA68DF">
        <w:rPr>
          <w:rFonts w:ascii="Arial" w:hAnsi="Arial" w:cs="Arial"/>
          <w:sz w:val="20"/>
          <w:szCs w:val="20"/>
        </w:rPr>
        <w:t xml:space="preserve">. </w:t>
      </w:r>
    </w:p>
    <w:p w14:paraId="34911519" w14:textId="77777777" w:rsidR="00D71102" w:rsidRPr="00D71102" w:rsidRDefault="00D71102" w:rsidP="00D71102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D71102">
        <w:rPr>
          <w:b/>
        </w:rPr>
        <w:t>Sposób przygotowania i składnia ofert</w:t>
      </w:r>
    </w:p>
    <w:p w14:paraId="3CE32ED5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Wykonawca może złożyć tylko jedną ofertę. Złożenie większej ilości ofert przez jednego Wykonawcę spowoduje ich odrzucenie.</w:t>
      </w:r>
    </w:p>
    <w:p w14:paraId="7288778B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 xml:space="preserve">Ofertę należy przygotować na formularzu ofertowym stanowiący załącznik nr 1 do niniejszego Zapytania. Oferta złożona na innym formularzu zostanie odrzucona. </w:t>
      </w:r>
    </w:p>
    <w:p w14:paraId="785F0B59" w14:textId="77777777" w:rsidR="00D71102" w:rsidRPr="002741B5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  <w:rPr>
          <w:b/>
        </w:rPr>
      </w:pPr>
      <w:r w:rsidRPr="002741B5">
        <w:rPr>
          <w:b/>
          <w:u w:val="single"/>
        </w:rPr>
        <w:t>Oferty należy złożyć za pośrednictwem Bazy Konkurencyjności do upływu terminu składania ofert.</w:t>
      </w:r>
      <w:r>
        <w:rPr>
          <w:b/>
        </w:rPr>
        <w:t xml:space="preserve"> </w:t>
      </w:r>
      <w:r w:rsidRPr="002741B5">
        <w:rPr>
          <w:b/>
          <w:u w:val="single"/>
        </w:rPr>
        <w:t>Złożenie oferty w odmienny sposób (poczta/kurier, osobiście lub poprzez e-mai</w:t>
      </w:r>
      <w:r>
        <w:rPr>
          <w:b/>
          <w:u w:val="single"/>
        </w:rPr>
        <w:t>l</w:t>
      </w:r>
      <w:r w:rsidRPr="002741B5">
        <w:rPr>
          <w:b/>
          <w:u w:val="single"/>
        </w:rPr>
        <w:t>) skutkowało będzie odrzuceniem oferty.</w:t>
      </w:r>
      <w:r>
        <w:rPr>
          <w:b/>
        </w:rPr>
        <w:t xml:space="preserve"> </w:t>
      </w:r>
    </w:p>
    <w:p w14:paraId="71435F46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Za ofertę złożoną w terminie uznaje się ofertę złożona poprzez Bazę konkurencyjności w terminie składania ofert.</w:t>
      </w:r>
    </w:p>
    <w:p w14:paraId="40AAE9B4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Oferty złożone po terminie składania ofert nie będą rozpatrywane.</w:t>
      </w:r>
    </w:p>
    <w:p w14:paraId="364B4853" w14:textId="77DAD2B1" w:rsidR="00D0380E" w:rsidRDefault="00D71102" w:rsidP="00BA68DF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Treść złożonej oferty musi odpowiadać treści Zapytania Ofertowego oraz zawierać wszystkie wymagane załączniki</w:t>
      </w:r>
      <w:r w:rsidR="00BA68DF">
        <w:t xml:space="preserve">. </w:t>
      </w:r>
    </w:p>
    <w:p w14:paraId="02CC4BB6" w14:textId="77777777" w:rsidR="00D71102" w:rsidRPr="005451D8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 w:rsidRPr="005451D8">
        <w:t>Oferta wraz z załącznikami musi zostać podpisana</w:t>
      </w:r>
      <w:r>
        <w:t>.</w:t>
      </w:r>
      <w:r w:rsidR="005B2C44">
        <w:t xml:space="preserve"> </w:t>
      </w:r>
      <w:r w:rsidRPr="005451D8">
        <w:t>Oferty można podpisać podpisem elektronicznym</w:t>
      </w:r>
      <w:r>
        <w:t xml:space="preserve"> lub podpisać i zeskanować</w:t>
      </w:r>
      <w:r w:rsidRPr="005451D8">
        <w:t>. Oferta nie może być zaszyfrowana.</w:t>
      </w:r>
    </w:p>
    <w:p w14:paraId="72814661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</w:t>
      </w:r>
      <w:r w:rsidR="005B2C44">
        <w:t>lecający usługę</w:t>
      </w:r>
      <w:r>
        <w:t xml:space="preserve"> informuje, że oferty składane w postępowaniu są jawne i podlegają udostępnieniu od chwili ich otwarcia z wyjątkiem informacji stanowiących tajemnicę przedsiębiorstwa. Elementy oferty, które Wykonawca zamierza zastrzec jako tajemnicę przedsiębiorstwa w rozumieniu art. 11 ust. 4 ustawy z dnia 16 kwietnia 1993 r. o zwalczaniu nieuczciwej konkurencji (Dz. U. z 2020 r. poz. 1913 </w:t>
      </w:r>
      <w:proofErr w:type="spellStart"/>
      <w:r>
        <w:t>t.j</w:t>
      </w:r>
      <w:proofErr w:type="spellEnd"/>
      <w:r>
        <w:t xml:space="preserve">.) powinny zostać opisane „tajemnica przedsiębiorstwa". W treści oferty powinna zostać umieszczona informacja, że dany dokument </w:t>
      </w:r>
      <w:r>
        <w:lastRenderedPageBreak/>
        <w:t>jest zastrzeżony. Wykonawca zobowiązany jest wykazać, iż zastrzeżone informacje stanowią tajemnicę przedsiębiorstwa. Stosownie do powyższego, jeśli Wykonawca nie dopełni ww. obowiązków, Z</w:t>
      </w:r>
      <w:r w:rsidR="00C864B0">
        <w:t>lecający usługę</w:t>
      </w:r>
      <w:r>
        <w:t xml:space="preserve"> będzie miał podstawę do uznania, że zastrzeżenie tajemnicy przedsiębiorstwa jest bezskuteczne i w związku z tym potraktuje daną informację, jako niepodlegającą ochronie i niestanowiącą tajemnicy przedsiębiorstwa w rozumieniu ustawy o zwalczaniu nieuczciwej konkurencji. Wykonawca nie może zastrzec danych dotyczących elementów ceny, nazwy Wykonawcy oraz jego siedziby.</w:t>
      </w:r>
    </w:p>
    <w:p w14:paraId="6475D918" w14:textId="77777777" w:rsidR="00D71102" w:rsidRDefault="00D71102" w:rsidP="00D71102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 xml:space="preserve">Wykonawca pozostaje związany ofertą przez okres </w:t>
      </w:r>
      <w:r w:rsidRPr="00AA369A">
        <w:rPr>
          <w:b/>
        </w:rPr>
        <w:t>60 dni</w:t>
      </w:r>
      <w:r>
        <w:t xml:space="preserve"> począwszy od dnia upływu terminu składania ofert.</w:t>
      </w:r>
    </w:p>
    <w:p w14:paraId="1816672E" w14:textId="77777777" w:rsidR="00314F7A" w:rsidRDefault="00D71102" w:rsidP="00314F7A">
      <w:pPr>
        <w:pStyle w:val="Akapitzlist"/>
        <w:numPr>
          <w:ilvl w:val="0"/>
          <w:numId w:val="27"/>
        </w:numPr>
        <w:spacing w:before="120" w:after="0" w:line="300" w:lineRule="auto"/>
        <w:ind w:left="426" w:hanging="426"/>
        <w:jc w:val="both"/>
      </w:pPr>
      <w:r>
        <w:t>Z</w:t>
      </w:r>
      <w:r w:rsidR="00C864B0">
        <w:t>lecający usługę</w:t>
      </w:r>
      <w:r>
        <w:t xml:space="preserve"> może co najmniej na 3 dni przed upływem terminu związania ofertą, zwrócić się do Wykonawców o wyrażenie zgody na przedłużenie terminu, o którym mowa w ust. 9 o oznaczony okres, nie dłuższy jednak niż 30 dni.</w:t>
      </w:r>
    </w:p>
    <w:p w14:paraId="2E81140C" w14:textId="77777777" w:rsidR="00314F7A" w:rsidRDefault="00314F7A" w:rsidP="00314F7A">
      <w:pPr>
        <w:spacing w:line="360" w:lineRule="auto"/>
        <w:jc w:val="both"/>
        <w:rPr>
          <w:b/>
        </w:rPr>
      </w:pPr>
    </w:p>
    <w:p w14:paraId="28EADD03" w14:textId="77777777" w:rsidR="00314F7A" w:rsidRPr="00314F7A" w:rsidRDefault="00314F7A" w:rsidP="00310C13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</w:pPr>
      <w:r w:rsidRPr="00314F7A">
        <w:rPr>
          <w:b/>
        </w:rPr>
        <w:t>Sposób porozumiewania się z Wykonawcami.</w:t>
      </w:r>
    </w:p>
    <w:p w14:paraId="552D8EF6" w14:textId="17B31942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 xml:space="preserve">W postępowaniu o udzielenie zamówienia wnioski, zawiadomienia oraz informacje Zlecający usługę i Wykonawcy przekazują drogą elektroniczną na adres: </w:t>
      </w:r>
      <w:r w:rsidR="00C24734">
        <w:rPr>
          <w:b/>
        </w:rPr>
        <w:t>administracjapch@radex.com.pl</w:t>
      </w:r>
    </w:p>
    <w:p w14:paraId="4FD2492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Wykonawca może zwrócić się do Zlecającego usługę z prośbą o udzielenie dodatkowych informacji na temat niniejszego zamówienia, pod warunkiem, że wniosek o wyjaśnienie wpłynął do Zlecającego usługę nie później niż na 2 dni przed upływem terminu składania ofert. Jeżeli wniosek o wyjaśnienie treści Zapytania Ofertowego wpłynął później niż na 2 dni przed upływem terminu składania ofert, Zlecający usługę może udzielić wyjaśnień albo pozostawić wniosek bez rozpoznania.</w:t>
      </w:r>
    </w:p>
    <w:p w14:paraId="514D82E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udzieli wyjaśnień niezwłocznie;</w:t>
      </w:r>
    </w:p>
    <w:p w14:paraId="25A3F665" w14:textId="77777777" w:rsidR="00314F7A" w:rsidRDefault="00314F7A" w:rsidP="00314F7A">
      <w:pPr>
        <w:pStyle w:val="Akapitzlist"/>
        <w:numPr>
          <w:ilvl w:val="0"/>
          <w:numId w:val="30"/>
        </w:numPr>
      </w:pPr>
      <w:r w:rsidRPr="00E00A77">
        <w:t>Zaleca się wykonawcom śledzenie informacji w zakresie publikowanych odpowiedzi na zadawane w toku prowadzonej procedury pytania, gdyż stanowi</w:t>
      </w:r>
      <w:r>
        <w:t>ć</w:t>
      </w:r>
      <w:r w:rsidRPr="00E00A77">
        <w:t xml:space="preserve"> one będą integralną część dokumentacji postępowania i są wiążące dla wszystkich wykonawców. </w:t>
      </w:r>
    </w:p>
    <w:p w14:paraId="1E303AB0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Treść zapytań wraz z wyjaśnieniami, Zlecający usługę udostępni w Bazie konkurencyjności bez ujawniania źródła zapytania;</w:t>
      </w:r>
    </w:p>
    <w:p w14:paraId="3B483C0B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W uzasadnionych przypadkach Z</w:t>
      </w:r>
      <w:r w:rsidR="00C864B0">
        <w:t>lecający usługę</w:t>
      </w:r>
      <w:r>
        <w:t xml:space="preserve"> może przed upływem terminu składania ofert zmienić treść niniejszego zapytania ofertowego. Wprowadzona zmiana zostanie zamieszczona w Bazie Konkurencyjności. </w:t>
      </w:r>
    </w:p>
    <w:p w14:paraId="5D343E1F" w14:textId="56A7977C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Osobą upoważnioną do porozumiewania się z Wykonawcami jest:</w:t>
      </w:r>
      <w:r w:rsidR="00C24734">
        <w:rPr>
          <w:b/>
        </w:rPr>
        <w:t xml:space="preserve"> Anna Jędrzejczyk</w:t>
      </w:r>
      <w:r w:rsidR="00C24734" w:rsidRPr="00C24734">
        <w:rPr>
          <w:b/>
        </w:rPr>
        <w:t>,</w:t>
      </w:r>
      <w:r w:rsidRPr="00C24734">
        <w:t xml:space="preserve"> </w:t>
      </w:r>
      <w:r w:rsidRPr="00C24734">
        <w:rPr>
          <w:b/>
        </w:rPr>
        <w:t xml:space="preserve">e-mail: </w:t>
      </w:r>
      <w:r w:rsidR="00C24734">
        <w:rPr>
          <w:b/>
        </w:rPr>
        <w:t>ajedrzejczyk@radex.com.pl</w:t>
      </w:r>
    </w:p>
    <w:p w14:paraId="38401A15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zamieści informację o wynikach postępowania wskazując nazwę wybranego Wykonawcy, jego siedzibę oraz cenę oferty w miejscu opublikowania Zapytania Ofertowego tj.: w Bazie Konkurencyjności.</w:t>
      </w:r>
    </w:p>
    <w:p w14:paraId="0E3563E9" w14:textId="77777777" w:rsidR="00314F7A" w:rsidRDefault="00314F7A" w:rsidP="00314F7A">
      <w:pPr>
        <w:pStyle w:val="Akapitzlist"/>
        <w:numPr>
          <w:ilvl w:val="0"/>
          <w:numId w:val="30"/>
        </w:numPr>
        <w:spacing w:before="120" w:after="0" w:line="300" w:lineRule="auto"/>
        <w:jc w:val="both"/>
      </w:pPr>
      <w:r>
        <w:t>Zlecający usługę nie przewiduje publicznego otwarcia ofert.</w:t>
      </w:r>
    </w:p>
    <w:p w14:paraId="314691AD" w14:textId="77777777" w:rsidR="00314F7A" w:rsidRDefault="00314F7A" w:rsidP="00314F7A">
      <w:pPr>
        <w:spacing w:before="120" w:after="0" w:line="300" w:lineRule="auto"/>
        <w:jc w:val="both"/>
      </w:pPr>
    </w:p>
    <w:p w14:paraId="7B4F5DE1" w14:textId="77777777" w:rsidR="00314F7A" w:rsidRPr="00310C13" w:rsidRDefault="00314F7A" w:rsidP="00310C13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310C13">
        <w:rPr>
          <w:b/>
        </w:rPr>
        <w:t>Warunki podpisania i zmiany umowy</w:t>
      </w:r>
    </w:p>
    <w:p w14:paraId="2ED17E3F" w14:textId="77777777" w:rsidR="00314F7A" w:rsidRDefault="00314F7A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lastRenderedPageBreak/>
        <w:t>Z</w:t>
      </w:r>
      <w:r w:rsidR="004A5950">
        <w:t xml:space="preserve">lecający usługę </w:t>
      </w:r>
      <w:r>
        <w:t xml:space="preserve">wezwie wybranego Wykonawcę do podpisania umowy </w:t>
      </w:r>
      <w:r w:rsidR="004A5950">
        <w:t xml:space="preserve">wstępnej </w:t>
      </w:r>
      <w:r>
        <w:t>wysyłając informację na adres e-mail wskazany w ofercie, wskazując miejsce i termin podpisania umowy</w:t>
      </w:r>
      <w:r w:rsidR="004A5950">
        <w:t xml:space="preserve"> wstępnej</w:t>
      </w:r>
      <w:r>
        <w:t>.</w:t>
      </w:r>
      <w:r w:rsidRPr="00BD7E32">
        <w:t xml:space="preserve"> W przypadku, gdy wybrany wykonawca odstąpi od zawarcia umowy</w:t>
      </w:r>
      <w:r w:rsidR="004A5950">
        <w:t xml:space="preserve"> wstępnej</w:t>
      </w:r>
      <w:r w:rsidRPr="00BD7E32">
        <w:t xml:space="preserve">, </w:t>
      </w:r>
      <w:r>
        <w:t>Z</w:t>
      </w:r>
      <w:r w:rsidR="004A5950">
        <w:t>lecający usługę</w:t>
      </w:r>
      <w:r>
        <w:t xml:space="preserve"> </w:t>
      </w:r>
      <w:r w:rsidRPr="00BD7E32">
        <w:t>zawiera umowę z kolejnym wykonawcą, który w zamówieniu ofertowym uzyskał kolejną najwyższą liczbę punktów</w:t>
      </w:r>
      <w:r>
        <w:t xml:space="preserve"> i wykazał spełnienie warunku udziału w postępowaniu oraz nie podlega wykluczeniu z udziału w postępowaniu</w:t>
      </w:r>
      <w:r w:rsidRPr="00BD7E32">
        <w:t>.</w:t>
      </w:r>
    </w:p>
    <w:p w14:paraId="35E4F3F4" w14:textId="77777777" w:rsidR="004A5950" w:rsidRDefault="004A5950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t xml:space="preserve">Umowa właściwa zostanie zawarta z wykonawcą wyłonionym w ramach postępowania nie wcześniej niż </w:t>
      </w:r>
      <w:r w:rsidRPr="004A5950">
        <w:t>na dzień następny po dniu złożenia wniosku o dofinansowanie projektu przez Zlecającego usługę</w:t>
      </w:r>
      <w:r>
        <w:t xml:space="preserve">. </w:t>
      </w:r>
    </w:p>
    <w:p w14:paraId="2B6FB2E8" w14:textId="77777777" w:rsidR="00B31C5C" w:rsidRDefault="00B31C5C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r>
        <w:t>Umowa właściwa zawarta zostanie na warunkach określonych w umowie wstępnej z zastrzeżeniem pkt 4.</w:t>
      </w:r>
    </w:p>
    <w:p w14:paraId="772F2AE5" w14:textId="77777777" w:rsidR="00314F7A" w:rsidRDefault="00B31C5C" w:rsidP="00314F7A">
      <w:pPr>
        <w:pStyle w:val="Akapitzlist"/>
        <w:numPr>
          <w:ilvl w:val="0"/>
          <w:numId w:val="29"/>
        </w:numPr>
        <w:spacing w:before="120" w:after="0" w:line="300" w:lineRule="auto"/>
        <w:jc w:val="both"/>
      </w:pPr>
      <w:bookmarkStart w:id="2" w:name="_Hlk100490193"/>
      <w:r>
        <w:t>Zlecający usługę</w:t>
      </w:r>
      <w:r w:rsidR="00314F7A">
        <w:t xml:space="preserve"> zastrzega możliwość zmiany postanowień umowy</w:t>
      </w:r>
      <w:r>
        <w:t xml:space="preserve"> właściwej</w:t>
      </w:r>
      <w:r w:rsidR="00314F7A">
        <w:t xml:space="preserve"> zawartej z wybranym Wykonawcą w następujących przypadkach:</w:t>
      </w:r>
    </w:p>
    <w:p w14:paraId="678D915E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bookmarkStart w:id="3" w:name="_Hlk166581136"/>
      <w:r w:rsidRPr="000460A3">
        <w:rPr>
          <w:rFonts w:cstheme="minorHAnsi"/>
        </w:rPr>
        <w:t>zmiany powszechnie obowiązujących przepisów prawa, w szczególności w zakresie dotyczącym zmian prawa podatkowego (np. stawek podatku od towarów i usług) pod warunkiem, że zmiana wywiera bezpośredni wpływ na realizację przedmiotu umowy i może prowadzić do modyfikacji wyłącznie tych zapisów umowy, do których się odnosi</w:t>
      </w:r>
      <w:r>
        <w:rPr>
          <w:rFonts w:cstheme="minorHAnsi"/>
        </w:rPr>
        <w:t>;</w:t>
      </w:r>
    </w:p>
    <w:p w14:paraId="3D0EBEDB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regulacji dotyczących realizacji projektu objętego umową o dofinansowanie co do sposobu realizacji lub finansowania zadań objętych Zapytaniem Ofertowym, wywierające bezpośredni wpływ na realizację umowy z Wykonawcą i mogące prowadzić do modyfikacji tych zapisów umowy, do których się odnoszą</w:t>
      </w:r>
      <w:r>
        <w:rPr>
          <w:rFonts w:cstheme="minorHAnsi"/>
        </w:rPr>
        <w:t>;</w:t>
      </w:r>
    </w:p>
    <w:p w14:paraId="79BCAD20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powstania możliwości zastosowania nowszych i korzystniejszych dla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rozwiązań technicznych od istniejących w chwili podpisania umowy, o ile nie zwiększy to kwoty wynagrodzenia</w:t>
      </w:r>
      <w:r>
        <w:rPr>
          <w:rFonts w:cstheme="minorHAnsi"/>
        </w:rPr>
        <w:t>;</w:t>
      </w:r>
    </w:p>
    <w:p w14:paraId="564A8F19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zmiana nie prowadzi do zmiany charakteru umowy i spełnione są łącznie następujące warunki:</w:t>
      </w:r>
    </w:p>
    <w:p w14:paraId="05609045" w14:textId="77777777" w:rsidR="00314F7A" w:rsidRPr="00C864B0" w:rsidRDefault="00314F7A" w:rsidP="00C864B0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0460A3">
        <w:rPr>
          <w:rFonts w:cstheme="minorHAnsi"/>
        </w:rPr>
        <w:t>konieczność zmiany umowy spowodowana jest okolicznościami, których Z</w:t>
      </w:r>
      <w:r w:rsidR="00C864B0">
        <w:rPr>
          <w:rFonts w:cstheme="minorHAnsi"/>
        </w:rPr>
        <w:t>lecający usługę</w:t>
      </w:r>
      <w:r w:rsidRPr="00C864B0">
        <w:rPr>
          <w:rFonts w:cstheme="minorHAnsi"/>
        </w:rPr>
        <w:t>, działając z należytą starannością, nie mógł przewidzieć i</w:t>
      </w:r>
    </w:p>
    <w:p w14:paraId="648B66E7" w14:textId="77777777" w:rsidR="00314F7A" w:rsidRPr="000460A3" w:rsidRDefault="00314F7A" w:rsidP="00314F7A">
      <w:pPr>
        <w:pStyle w:val="Akapitzlist"/>
        <w:numPr>
          <w:ilvl w:val="0"/>
          <w:numId w:val="33"/>
        </w:numPr>
        <w:jc w:val="both"/>
        <w:rPr>
          <w:rFonts w:cstheme="minorHAnsi"/>
        </w:rPr>
      </w:pPr>
      <w:r w:rsidRPr="000460A3">
        <w:rPr>
          <w:rFonts w:cstheme="minorHAnsi"/>
        </w:rPr>
        <w:t>wartość zmiany nie przekracza 50% wartości zamówienia określonej pierwotnie w umowie;</w:t>
      </w:r>
    </w:p>
    <w:p w14:paraId="52F7A2D4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zmiana nie prowadzi do zmiany charakteru umowy, a łączna wartość zmian jest mniejsza niż 10 % wartości wynagrodzenia wykonawcy określonego pierwotnie w umowie;</w:t>
      </w:r>
    </w:p>
    <w:p w14:paraId="012E82F9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wynikną rozbieżności lub niejasności w umowie, których nie można usunąć w inny sposób, a zmiana będzie umożliwiać usunięcie rozbieżności i doprecyzowanie umowy w celu jednoznacznej interpretacji jej zapisów przez strony</w:t>
      </w:r>
      <w:r>
        <w:rPr>
          <w:rFonts w:cstheme="minorHAnsi"/>
        </w:rPr>
        <w:t>;</w:t>
      </w:r>
    </w:p>
    <w:p w14:paraId="706349C5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terminu realizacji umowy w przypadku zaistnienia przyczyn zewnętrznych niezależnych od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lub Wykonawcy skutkujących niemożliwością dotrzymania pierwotnych terminów wynikających z Umowy</w:t>
      </w:r>
      <w:r>
        <w:rPr>
          <w:rFonts w:cstheme="minorHAnsi"/>
        </w:rPr>
        <w:t>;</w:t>
      </w:r>
    </w:p>
    <w:p w14:paraId="2C11F711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zmniejszenia kwoty wynagrodzenia Wykonawcy spowodowane ograniczeniem lub wyłączeniem z realizacji przez Z</w:t>
      </w:r>
      <w:r w:rsidR="00B31C5C">
        <w:rPr>
          <w:rFonts w:cstheme="minorHAnsi"/>
        </w:rPr>
        <w:t>lecającego usługę</w:t>
      </w:r>
      <w:r w:rsidRPr="000460A3">
        <w:rPr>
          <w:rFonts w:cstheme="minorHAnsi"/>
        </w:rPr>
        <w:t xml:space="preserve"> części przedmiotu zamówienia;</w:t>
      </w:r>
    </w:p>
    <w:p w14:paraId="484006CA" w14:textId="77777777" w:rsidR="00314F7A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lastRenderedPageBreak/>
        <w:t>zmiany terminu obowiązywania Umowy w przypadku zmiany terminu realizacji Projektu, w ramach którego Umowa jest realizowana;</w:t>
      </w:r>
    </w:p>
    <w:p w14:paraId="5B515563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>
        <w:rPr>
          <w:rFonts w:cstheme="minorHAnsi"/>
        </w:rPr>
        <w:t>zmiana terminu nieprzekraczająca 15 % pierwotnie określonego terminu będzie uznawana jako zmiana nieistotna, możliwa do wprowadzenia w toku realizacji zamówienia;</w:t>
      </w:r>
    </w:p>
    <w:p w14:paraId="5A45A748" w14:textId="77777777" w:rsidR="00314F7A" w:rsidRPr="000460A3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zmiany nazwy firmy, siedziby Stron Umowy, numerów kont bankowych oraz innych danych identyfikacyjnych;</w:t>
      </w:r>
    </w:p>
    <w:p w14:paraId="3D2F59B6" w14:textId="77777777" w:rsidR="00314F7A" w:rsidRDefault="00314F7A" w:rsidP="00314F7A">
      <w:pPr>
        <w:numPr>
          <w:ilvl w:val="1"/>
          <w:numId w:val="31"/>
        </w:numPr>
        <w:tabs>
          <w:tab w:val="left" w:pos="709"/>
        </w:tabs>
        <w:ind w:left="709" w:hanging="425"/>
        <w:jc w:val="both"/>
        <w:rPr>
          <w:rFonts w:cstheme="minorHAnsi"/>
        </w:rPr>
      </w:pPr>
      <w:r w:rsidRPr="000460A3">
        <w:rPr>
          <w:rFonts w:cstheme="minorHAnsi"/>
        </w:rPr>
        <w:t>gdy wystąpią opóźnienia w wydawaniu decyzji, zezwoleń, uzgodnień, itp., do wydania których właściwe organy są zobowiązane na mocy przepisów prawa, jeżeli opóźnienie przekroczy okres, przewidziany w przepisach prawa, w którym ww. decyzje powinny zostać wydane oraz nie są następstwem okoliczności, za które Wykonawca ponosi odpowiedzialność</w:t>
      </w:r>
      <w:r>
        <w:rPr>
          <w:rFonts w:cstheme="minorHAnsi"/>
        </w:rPr>
        <w:t>;</w:t>
      </w:r>
    </w:p>
    <w:bookmarkEnd w:id="2"/>
    <w:bookmarkEnd w:id="3"/>
    <w:p w14:paraId="5C916BD0" w14:textId="77777777" w:rsidR="00314F7A" w:rsidRDefault="00314F7A" w:rsidP="00C864B0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7365BD">
        <w:rPr>
          <w:b/>
        </w:rPr>
        <w:t>Informacje Dodatkowe</w:t>
      </w:r>
    </w:p>
    <w:p w14:paraId="51E1FC74" w14:textId="77777777" w:rsidR="00314F7A" w:rsidRPr="007365BD" w:rsidRDefault="00314F7A" w:rsidP="00314F7A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659ECB93" w14:textId="77777777" w:rsidR="00314F7A" w:rsidRDefault="00314F7A" w:rsidP="00314F7A">
      <w:pPr>
        <w:pStyle w:val="Akapitzlist"/>
        <w:numPr>
          <w:ilvl w:val="1"/>
          <w:numId w:val="28"/>
        </w:numPr>
        <w:spacing w:before="120" w:after="0" w:line="300" w:lineRule="auto"/>
        <w:ind w:left="340" w:hanging="340"/>
        <w:jc w:val="both"/>
      </w:pPr>
      <w:r>
        <w:t>Z</w:t>
      </w:r>
      <w:r w:rsidR="00C864B0">
        <w:t>lecający usługę</w:t>
      </w:r>
      <w:r>
        <w:t xml:space="preserve"> zastrzega sobie prawo do odwołania postępowania lub zmiany postępowania na każdym jego etapie lub unieważnienia postępowania lub niedokonania wyboru Wykonawcy. Jednocześnie Z</w:t>
      </w:r>
      <w:r w:rsidR="00C864B0">
        <w:t>lecający usługę</w:t>
      </w:r>
      <w:r>
        <w:t xml:space="preserve"> informuje, iż zgodnie z obowiązującym prawem niniejsze Zapytanie nie stanowi oferty w myśl art. 66 ustawy z dnia 23 kwietnia 1964 r. Kodeks cywilny (Dz. U. z 2020 r. poz. 1740), jak również nie jest ogłoszeniem w rozumieniu ustawy Prawo zamówień publicznych (Dz. U. z 2019 r. poz. 2019 ze zm.).</w:t>
      </w:r>
    </w:p>
    <w:p w14:paraId="17F4B3A7" w14:textId="77777777" w:rsidR="00314F7A" w:rsidRDefault="00314F7A" w:rsidP="00314F7A">
      <w:pPr>
        <w:pStyle w:val="Akapitzlist"/>
        <w:numPr>
          <w:ilvl w:val="1"/>
          <w:numId w:val="28"/>
        </w:numPr>
        <w:spacing w:before="120" w:after="0" w:line="300" w:lineRule="auto"/>
        <w:ind w:left="340" w:hanging="340"/>
        <w:jc w:val="both"/>
      </w:pPr>
      <w:r>
        <w:t>Wykonawcom nie przysługuje żadne roszczenie względem Z</w:t>
      </w:r>
      <w:r w:rsidR="00C864B0">
        <w:t>lecającego usługę</w:t>
      </w:r>
      <w:r>
        <w:t xml:space="preserve"> w przypadku skorzystania przez Z</w:t>
      </w:r>
      <w:r w:rsidR="00C864B0">
        <w:t>lecającego usługę</w:t>
      </w:r>
      <w:r>
        <w:t xml:space="preserve"> z uprawnienia wskazanego w ust. 1.</w:t>
      </w:r>
    </w:p>
    <w:p w14:paraId="219CBAB4" w14:textId="77777777" w:rsidR="000E7D62" w:rsidRDefault="000E7D62" w:rsidP="000E7D62">
      <w:pPr>
        <w:spacing w:before="120" w:after="0" w:line="300" w:lineRule="auto"/>
        <w:jc w:val="both"/>
      </w:pPr>
    </w:p>
    <w:p w14:paraId="14B3453D" w14:textId="77777777" w:rsidR="00C864B0" w:rsidRDefault="00C864B0" w:rsidP="00C864B0">
      <w:pPr>
        <w:pStyle w:val="Akapitzlist"/>
        <w:numPr>
          <w:ilvl w:val="0"/>
          <w:numId w:val="6"/>
        </w:numPr>
        <w:spacing w:line="360" w:lineRule="auto"/>
        <w:ind w:left="425" w:hanging="425"/>
        <w:jc w:val="both"/>
        <w:rPr>
          <w:b/>
        </w:rPr>
      </w:pPr>
      <w:r w:rsidRPr="007365BD">
        <w:rPr>
          <w:b/>
        </w:rPr>
        <w:t>Załączniki do zapytania:</w:t>
      </w:r>
    </w:p>
    <w:p w14:paraId="3C73F154" w14:textId="77777777" w:rsidR="00C864B0" w:rsidRPr="007365BD" w:rsidRDefault="00C864B0" w:rsidP="00C864B0">
      <w:pPr>
        <w:pStyle w:val="Akapitzlist"/>
        <w:spacing w:before="120" w:after="0" w:line="300" w:lineRule="auto"/>
        <w:ind w:left="380"/>
        <w:jc w:val="both"/>
        <w:rPr>
          <w:b/>
        </w:rPr>
      </w:pPr>
    </w:p>
    <w:p w14:paraId="46FDF7E3" w14:textId="77777777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>Formularz Ofertowy ;</w:t>
      </w:r>
    </w:p>
    <w:p w14:paraId="731D764D" w14:textId="77777777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bookmarkStart w:id="4" w:name="_Hlk87802919"/>
      <w:r>
        <w:t>Oświadczenie o braku powiązań kapitałowych lub osobowych ze Zlecającym usługę;</w:t>
      </w:r>
      <w:bookmarkEnd w:id="4"/>
    </w:p>
    <w:p w14:paraId="4C506793" w14:textId="77777777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>Oświadczenie dot. sankcji;</w:t>
      </w:r>
    </w:p>
    <w:p w14:paraId="43A25921" w14:textId="3EF2BB5B" w:rsidR="00C864B0" w:rsidRDefault="00C864B0" w:rsidP="00C864B0">
      <w:pPr>
        <w:pStyle w:val="Akapitzlist"/>
        <w:numPr>
          <w:ilvl w:val="1"/>
          <w:numId w:val="35"/>
        </w:numPr>
        <w:spacing w:before="120" w:after="0" w:line="300" w:lineRule="auto"/>
        <w:ind w:left="697" w:hanging="340"/>
        <w:jc w:val="both"/>
      </w:pPr>
      <w:r>
        <w:t xml:space="preserve">Wzór umowy </w:t>
      </w:r>
      <w:r w:rsidR="008E4397">
        <w:t>przed</w:t>
      </w:r>
      <w:r>
        <w:t xml:space="preserve">wstępnej. </w:t>
      </w:r>
    </w:p>
    <w:p w14:paraId="464221F3" w14:textId="77777777" w:rsidR="00E7202F" w:rsidRDefault="00E7202F" w:rsidP="00E7202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21D54BF" w14:textId="77777777" w:rsidR="006E75D6" w:rsidRPr="005D4B94" w:rsidRDefault="006E75D6" w:rsidP="00E7202F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sectPr w:rsidR="006E75D6" w:rsidRPr="005D4B94" w:rsidSect="000C1853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D870EC8" w16cex:dateUtc="2024-10-29T09:10:00Z"/>
  <w16cex:commentExtensible w16cex:durableId="65431CD3" w16cex:dateUtc="2024-10-29T09:11:00Z"/>
  <w16cex:commentExtensible w16cex:durableId="335FA42B" w16cex:dateUtc="2024-10-29T12:05:00Z"/>
  <w16cex:commentExtensible w16cex:durableId="440AAA97" w16cex:dateUtc="2024-10-29T12:05:00Z"/>
  <w16cex:commentExtensible w16cex:durableId="495B0296" w16cex:dateUtc="2024-10-29T09:13:00Z"/>
  <w16cex:commentExtensible w16cex:durableId="1A58531F" w16cex:dateUtc="2024-10-29T08:57:00Z"/>
  <w16cex:commentExtensible w16cex:durableId="53E6D44C" w16cex:dateUtc="2024-10-29T08:59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AC4846" w14:textId="77777777" w:rsidR="002127F8" w:rsidRDefault="002127F8" w:rsidP="005D4B94">
      <w:pPr>
        <w:spacing w:after="0" w:line="240" w:lineRule="auto"/>
      </w:pPr>
      <w:r>
        <w:separator/>
      </w:r>
    </w:p>
  </w:endnote>
  <w:endnote w:type="continuationSeparator" w:id="0">
    <w:p w14:paraId="63721A05" w14:textId="77777777" w:rsidR="002127F8" w:rsidRDefault="002127F8" w:rsidP="005D4B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31665510"/>
      <w:docPartObj>
        <w:docPartGallery w:val="Page Numbers (Bottom of Page)"/>
        <w:docPartUnique/>
      </w:docPartObj>
    </w:sdtPr>
    <w:sdtEndPr/>
    <w:sdtContent>
      <w:p w14:paraId="1BEEEA9A" w14:textId="77777777" w:rsidR="005D4B94" w:rsidRDefault="00BE6159">
        <w:pPr>
          <w:pStyle w:val="Stopka"/>
          <w:jc w:val="right"/>
        </w:pPr>
        <w:r>
          <w:fldChar w:fldCharType="begin"/>
        </w:r>
        <w:r w:rsidR="005D4B94">
          <w:instrText>PAGE   \* MERGEFORMAT</w:instrText>
        </w:r>
        <w:r>
          <w:fldChar w:fldCharType="separate"/>
        </w:r>
        <w:r w:rsidR="006933D1">
          <w:rPr>
            <w:noProof/>
          </w:rPr>
          <w:t>5</w:t>
        </w:r>
        <w:r>
          <w:fldChar w:fldCharType="end"/>
        </w:r>
      </w:p>
    </w:sdtContent>
  </w:sdt>
  <w:p w14:paraId="37AAC813" w14:textId="77777777" w:rsidR="005D4B94" w:rsidRDefault="005D4B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2A5E34" w14:textId="77777777" w:rsidR="002127F8" w:rsidRDefault="002127F8" w:rsidP="005D4B94">
      <w:pPr>
        <w:spacing w:after="0" w:line="240" w:lineRule="auto"/>
      </w:pPr>
      <w:r>
        <w:separator/>
      </w:r>
    </w:p>
  </w:footnote>
  <w:footnote w:type="continuationSeparator" w:id="0">
    <w:p w14:paraId="4CA2F613" w14:textId="77777777" w:rsidR="002127F8" w:rsidRDefault="002127F8" w:rsidP="005D4B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0713A8" w14:textId="77777777" w:rsidR="005D4B94" w:rsidRDefault="005C0958">
    <w:pPr>
      <w:pStyle w:val="Nagwek"/>
    </w:pPr>
    <w:r w:rsidRPr="005C0958">
      <w:rPr>
        <w:rFonts w:ascii="Calibri" w:eastAsia="Calibri" w:hAnsi="Calibri" w:cs="Times New Roman"/>
        <w:noProof/>
      </w:rPr>
      <w:drawing>
        <wp:inline distT="0" distB="0" distL="0" distR="0" wp14:anchorId="3285E710" wp14:editId="55FE0F3A">
          <wp:extent cx="5760720" cy="41783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7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989FF41" w14:textId="77777777" w:rsidR="005D4B94" w:rsidRDefault="005D4B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15998A1"/>
    <w:multiLevelType w:val="singleLevel"/>
    <w:tmpl w:val="915998A1"/>
    <w:lvl w:ilvl="0">
      <w:start w:val="9"/>
      <w:numFmt w:val="decimal"/>
      <w:suff w:val="space"/>
      <w:lvlText w:val="%1."/>
      <w:lvlJc w:val="left"/>
    </w:lvl>
  </w:abstractNum>
  <w:abstractNum w:abstractNumId="1" w15:restartNumberingAfterBreak="0">
    <w:nsid w:val="00000021"/>
    <w:multiLevelType w:val="multilevel"/>
    <w:tmpl w:val="1F78A3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2">
      <w:start w:val="2"/>
      <w:numFmt w:val="lowerLetter"/>
      <w:lvlText w:val="%3)"/>
      <w:lvlJc w:val="left"/>
      <w:rPr>
        <w:rFonts w:asciiTheme="minorHAnsi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3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4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5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6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7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8">
      <w:start w:val="2"/>
      <w:numFmt w:val="lowerLetter"/>
      <w:lvlText w:val="%3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</w:abstractNum>
  <w:abstractNum w:abstractNumId="2" w15:restartNumberingAfterBreak="0">
    <w:nsid w:val="03545844"/>
    <w:multiLevelType w:val="hybridMultilevel"/>
    <w:tmpl w:val="CD5016FA"/>
    <w:lvl w:ilvl="0" w:tplc="04150015">
      <w:start w:val="1"/>
      <w:numFmt w:val="upp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" w15:restartNumberingAfterBreak="0">
    <w:nsid w:val="0541441E"/>
    <w:multiLevelType w:val="hybridMultilevel"/>
    <w:tmpl w:val="7804C64A"/>
    <w:lvl w:ilvl="0" w:tplc="7E1C68C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A45F5A"/>
    <w:multiLevelType w:val="hybridMultilevel"/>
    <w:tmpl w:val="7CD0B9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A001D8"/>
    <w:multiLevelType w:val="hybridMultilevel"/>
    <w:tmpl w:val="B622AD30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6" w15:restartNumberingAfterBreak="0">
    <w:nsid w:val="0AB45CCB"/>
    <w:multiLevelType w:val="hybridMultilevel"/>
    <w:tmpl w:val="3A0409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45580C"/>
    <w:multiLevelType w:val="hybridMultilevel"/>
    <w:tmpl w:val="3162D3BC"/>
    <w:lvl w:ilvl="0" w:tplc="04150011">
      <w:start w:val="1"/>
      <w:numFmt w:val="decimal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8" w15:restartNumberingAfterBreak="0">
    <w:nsid w:val="103869C1"/>
    <w:multiLevelType w:val="hybridMultilevel"/>
    <w:tmpl w:val="10DAFD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940D278">
      <w:start w:val="9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5C1738"/>
    <w:multiLevelType w:val="hybridMultilevel"/>
    <w:tmpl w:val="E8243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D814CA"/>
    <w:multiLevelType w:val="hybridMultilevel"/>
    <w:tmpl w:val="94DA0630"/>
    <w:lvl w:ilvl="0" w:tplc="B00A0E6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D25528C"/>
    <w:multiLevelType w:val="multilevel"/>
    <w:tmpl w:val="3B72E0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166B96"/>
    <w:multiLevelType w:val="hybridMultilevel"/>
    <w:tmpl w:val="7BDAC79E"/>
    <w:lvl w:ilvl="0" w:tplc="04150013">
      <w:start w:val="1"/>
      <w:numFmt w:val="upperRoman"/>
      <w:lvlText w:val="%1."/>
      <w:lvlJc w:val="righ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13" w15:restartNumberingAfterBreak="0">
    <w:nsid w:val="1E1D070A"/>
    <w:multiLevelType w:val="hybridMultilevel"/>
    <w:tmpl w:val="09A085E6"/>
    <w:lvl w:ilvl="0" w:tplc="B00A0E6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C0161B"/>
    <w:multiLevelType w:val="hybridMultilevel"/>
    <w:tmpl w:val="88D621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0A2DE1"/>
    <w:multiLevelType w:val="hybridMultilevel"/>
    <w:tmpl w:val="90D0FA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50675C"/>
    <w:multiLevelType w:val="hybridMultilevel"/>
    <w:tmpl w:val="392EF3EA"/>
    <w:lvl w:ilvl="0" w:tplc="F530C6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5C2A9C"/>
    <w:multiLevelType w:val="hybridMultilevel"/>
    <w:tmpl w:val="D806D9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B65CBD"/>
    <w:multiLevelType w:val="hybridMultilevel"/>
    <w:tmpl w:val="F2763C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11710A"/>
    <w:multiLevelType w:val="hybridMultilevel"/>
    <w:tmpl w:val="ADB2FE5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0" w15:restartNumberingAfterBreak="0">
    <w:nsid w:val="2E692377"/>
    <w:multiLevelType w:val="hybridMultilevel"/>
    <w:tmpl w:val="815418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735AFA"/>
    <w:multiLevelType w:val="singleLevel"/>
    <w:tmpl w:val="31735AFA"/>
    <w:lvl w:ilvl="0">
      <w:start w:val="1"/>
      <w:numFmt w:val="decimal"/>
      <w:suff w:val="space"/>
      <w:lvlText w:val="%1."/>
      <w:lvlJc w:val="left"/>
    </w:lvl>
  </w:abstractNum>
  <w:abstractNum w:abstractNumId="22" w15:restartNumberingAfterBreak="0">
    <w:nsid w:val="34D62834"/>
    <w:multiLevelType w:val="hybridMultilevel"/>
    <w:tmpl w:val="FBB038AE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71B4D76"/>
    <w:multiLevelType w:val="hybridMultilevel"/>
    <w:tmpl w:val="C958D73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3E463471"/>
    <w:multiLevelType w:val="hybridMultilevel"/>
    <w:tmpl w:val="04687C50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0F">
      <w:start w:val="1"/>
      <w:numFmt w:val="decimal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25" w15:restartNumberingAfterBreak="0">
    <w:nsid w:val="45B91C19"/>
    <w:multiLevelType w:val="hybridMultilevel"/>
    <w:tmpl w:val="459A90B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7AC6497"/>
    <w:multiLevelType w:val="hybridMultilevel"/>
    <w:tmpl w:val="6074B1D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471EBF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52147D9C"/>
    <w:multiLevelType w:val="hybridMultilevel"/>
    <w:tmpl w:val="187A5D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51248C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0" w15:restartNumberingAfterBreak="0">
    <w:nsid w:val="5C183F23"/>
    <w:multiLevelType w:val="hybridMultilevel"/>
    <w:tmpl w:val="C624CA6C"/>
    <w:lvl w:ilvl="0" w:tplc="B00A0E62">
      <w:start w:val="1"/>
      <w:numFmt w:val="lowerLetter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621375"/>
    <w:multiLevelType w:val="hybridMultilevel"/>
    <w:tmpl w:val="6F220A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AC21714">
      <w:start w:val="1"/>
      <w:numFmt w:val="decimal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365248"/>
    <w:multiLevelType w:val="hybridMultilevel"/>
    <w:tmpl w:val="99B8B1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A30F91"/>
    <w:multiLevelType w:val="hybridMultilevel"/>
    <w:tmpl w:val="BBCAEBB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913198D"/>
    <w:multiLevelType w:val="hybridMultilevel"/>
    <w:tmpl w:val="B4CA49D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13"/>
  </w:num>
  <w:num w:numId="3">
    <w:abstractNumId w:val="17"/>
  </w:num>
  <w:num w:numId="4">
    <w:abstractNumId w:val="10"/>
  </w:num>
  <w:num w:numId="5">
    <w:abstractNumId w:val="20"/>
  </w:num>
  <w:num w:numId="6">
    <w:abstractNumId w:val="16"/>
  </w:num>
  <w:num w:numId="7">
    <w:abstractNumId w:val="6"/>
  </w:num>
  <w:num w:numId="8">
    <w:abstractNumId w:val="18"/>
  </w:num>
  <w:num w:numId="9">
    <w:abstractNumId w:val="2"/>
  </w:num>
  <w:num w:numId="10">
    <w:abstractNumId w:val="4"/>
  </w:num>
  <w:num w:numId="11">
    <w:abstractNumId w:val="32"/>
  </w:num>
  <w:num w:numId="12">
    <w:abstractNumId w:val="25"/>
  </w:num>
  <w:num w:numId="13">
    <w:abstractNumId w:val="30"/>
  </w:num>
  <w:num w:numId="14">
    <w:abstractNumId w:val="8"/>
  </w:num>
  <w:num w:numId="15">
    <w:abstractNumId w:val="3"/>
  </w:num>
  <w:num w:numId="16">
    <w:abstractNumId w:val="28"/>
  </w:num>
  <w:num w:numId="17">
    <w:abstractNumId w:val="7"/>
  </w:num>
  <w:num w:numId="18">
    <w:abstractNumId w:val="22"/>
  </w:num>
  <w:num w:numId="19">
    <w:abstractNumId w:val="23"/>
  </w:num>
  <w:num w:numId="20">
    <w:abstractNumId w:val="15"/>
  </w:num>
  <w:num w:numId="21">
    <w:abstractNumId w:val="33"/>
  </w:num>
  <w:num w:numId="22">
    <w:abstractNumId w:val="21"/>
  </w:num>
  <w:num w:numId="23">
    <w:abstractNumId w:val="0"/>
  </w:num>
  <w:num w:numId="24">
    <w:abstractNumId w:val="11"/>
  </w:num>
  <w:num w:numId="25">
    <w:abstractNumId w:val="12"/>
  </w:num>
  <w:num w:numId="26">
    <w:abstractNumId w:val="31"/>
  </w:num>
  <w:num w:numId="27">
    <w:abstractNumId w:val="9"/>
  </w:num>
  <w:num w:numId="28">
    <w:abstractNumId w:val="24"/>
  </w:num>
  <w:num w:numId="29">
    <w:abstractNumId w:val="19"/>
  </w:num>
  <w:num w:numId="30">
    <w:abstractNumId w:val="5"/>
  </w:num>
  <w:num w:numId="31">
    <w:abstractNumId w:val="1"/>
  </w:num>
  <w:num w:numId="32">
    <w:abstractNumId w:val="29"/>
  </w:num>
  <w:num w:numId="33">
    <w:abstractNumId w:val="34"/>
  </w:num>
  <w:num w:numId="34">
    <w:abstractNumId w:val="27"/>
  </w:num>
  <w:num w:numId="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0E6"/>
    <w:rsid w:val="00002FC7"/>
    <w:rsid w:val="00056E2D"/>
    <w:rsid w:val="000C1853"/>
    <w:rsid w:val="000D19AD"/>
    <w:rsid w:val="000E7D62"/>
    <w:rsid w:val="001102AA"/>
    <w:rsid w:val="00110F95"/>
    <w:rsid w:val="0014384D"/>
    <w:rsid w:val="001645DD"/>
    <w:rsid w:val="002127F8"/>
    <w:rsid w:val="0023744F"/>
    <w:rsid w:val="0026332B"/>
    <w:rsid w:val="00297677"/>
    <w:rsid w:val="00310C13"/>
    <w:rsid w:val="00314F7A"/>
    <w:rsid w:val="00345003"/>
    <w:rsid w:val="00351D37"/>
    <w:rsid w:val="00356E9C"/>
    <w:rsid w:val="00371397"/>
    <w:rsid w:val="00397942"/>
    <w:rsid w:val="003B11ED"/>
    <w:rsid w:val="003B3F04"/>
    <w:rsid w:val="003C23C8"/>
    <w:rsid w:val="004076DC"/>
    <w:rsid w:val="004178D9"/>
    <w:rsid w:val="004665F5"/>
    <w:rsid w:val="004A5950"/>
    <w:rsid w:val="004B74DF"/>
    <w:rsid w:val="004C135E"/>
    <w:rsid w:val="00505B1E"/>
    <w:rsid w:val="00553E66"/>
    <w:rsid w:val="005734FB"/>
    <w:rsid w:val="005B2C44"/>
    <w:rsid w:val="005C0958"/>
    <w:rsid w:val="005C6F6B"/>
    <w:rsid w:val="005D4B94"/>
    <w:rsid w:val="005E1B70"/>
    <w:rsid w:val="00645DB0"/>
    <w:rsid w:val="00660730"/>
    <w:rsid w:val="006933D1"/>
    <w:rsid w:val="006A4B98"/>
    <w:rsid w:val="006A73A2"/>
    <w:rsid w:val="006E75D6"/>
    <w:rsid w:val="007227F1"/>
    <w:rsid w:val="0072449A"/>
    <w:rsid w:val="008471C2"/>
    <w:rsid w:val="00870650"/>
    <w:rsid w:val="008C37BC"/>
    <w:rsid w:val="008E4397"/>
    <w:rsid w:val="008F59EC"/>
    <w:rsid w:val="009846D3"/>
    <w:rsid w:val="00A378AB"/>
    <w:rsid w:val="00A456D9"/>
    <w:rsid w:val="00A63F52"/>
    <w:rsid w:val="00A818ED"/>
    <w:rsid w:val="00AA1851"/>
    <w:rsid w:val="00AA369A"/>
    <w:rsid w:val="00B060E6"/>
    <w:rsid w:val="00B06257"/>
    <w:rsid w:val="00B078D4"/>
    <w:rsid w:val="00B23CE0"/>
    <w:rsid w:val="00B31C5C"/>
    <w:rsid w:val="00B916B4"/>
    <w:rsid w:val="00B91E7F"/>
    <w:rsid w:val="00BA68DF"/>
    <w:rsid w:val="00BC6FD7"/>
    <w:rsid w:val="00BE6159"/>
    <w:rsid w:val="00C24734"/>
    <w:rsid w:val="00C864B0"/>
    <w:rsid w:val="00D0380E"/>
    <w:rsid w:val="00D069F1"/>
    <w:rsid w:val="00D34E11"/>
    <w:rsid w:val="00D6157F"/>
    <w:rsid w:val="00D71102"/>
    <w:rsid w:val="00DE4D62"/>
    <w:rsid w:val="00DF5898"/>
    <w:rsid w:val="00E14235"/>
    <w:rsid w:val="00E22E3F"/>
    <w:rsid w:val="00E345A5"/>
    <w:rsid w:val="00E7202F"/>
    <w:rsid w:val="00E80828"/>
    <w:rsid w:val="00E82A46"/>
    <w:rsid w:val="00EA5E38"/>
    <w:rsid w:val="00F14A87"/>
    <w:rsid w:val="00F17942"/>
    <w:rsid w:val="00F531EA"/>
    <w:rsid w:val="00F66A3F"/>
    <w:rsid w:val="00FB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EF103"/>
  <w15:docId w15:val="{868CDCFF-EAB7-4725-8334-3C5CF8F60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C18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94"/>
  </w:style>
  <w:style w:type="paragraph" w:styleId="Stopka">
    <w:name w:val="footer"/>
    <w:basedOn w:val="Normalny"/>
    <w:link w:val="StopkaZnak"/>
    <w:uiPriority w:val="99"/>
    <w:unhideWhenUsed/>
    <w:rsid w:val="005D4B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94"/>
  </w:style>
  <w:style w:type="paragraph" w:styleId="Akapitzlist">
    <w:name w:val="List Paragraph"/>
    <w:aliases w:val="Numerowanie,List Paragraph,Akapit z listą BS"/>
    <w:basedOn w:val="Normalny"/>
    <w:link w:val="AkapitzlistZnak"/>
    <w:uiPriority w:val="34"/>
    <w:qFormat/>
    <w:rsid w:val="005D4B94"/>
    <w:pPr>
      <w:ind w:left="720"/>
      <w:contextualSpacing/>
    </w:pPr>
  </w:style>
  <w:style w:type="table" w:styleId="Tabela-Siatka">
    <w:name w:val="Table Grid"/>
    <w:basedOn w:val="Standardowy"/>
    <w:uiPriority w:val="39"/>
    <w:rsid w:val="00B062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47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71C2"/>
    <w:rPr>
      <w:rFonts w:ascii="Tahoma" w:hAnsi="Tahoma" w:cs="Tahoma"/>
      <w:sz w:val="16"/>
      <w:szCs w:val="16"/>
    </w:rPr>
  </w:style>
  <w:style w:type="character" w:customStyle="1" w:styleId="Bodytext">
    <w:name w:val="Body text_"/>
    <w:basedOn w:val="Domylnaczcionkaakapitu"/>
    <w:link w:val="Tekstpodstawowy5"/>
    <w:rsid w:val="008471C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podstawowy5">
    <w:name w:val="Tekst podstawowy5"/>
    <w:basedOn w:val="Normalny"/>
    <w:link w:val="Bodytext"/>
    <w:rsid w:val="008471C2"/>
    <w:pPr>
      <w:shd w:val="clear" w:color="auto" w:fill="FFFFFF"/>
      <w:spacing w:before="120" w:after="240" w:line="292" w:lineRule="exact"/>
      <w:ind w:hanging="460"/>
      <w:jc w:val="both"/>
    </w:pPr>
    <w:rPr>
      <w:rFonts w:ascii="Arial" w:eastAsia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16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16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16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16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16B4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056E2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56E2D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056E2D"/>
    <w:rPr>
      <w:color w:val="954F72" w:themeColor="followedHyperlink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uiPriority w:val="34"/>
    <w:locked/>
    <w:rsid w:val="00505B1E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473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473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247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52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45528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031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pch@radex.com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chemikalia/laboratoria-certyfikowane" TargetMode="Externa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7FAB49-574D-410D-AA38-DD04C0B8F1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414</TotalTime>
  <Pages>1</Pages>
  <Words>2666</Words>
  <Characters>15999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ABC</dc:creator>
  <cp:keywords/>
  <dc:description/>
  <cp:lastModifiedBy>.</cp:lastModifiedBy>
  <cp:revision>13</cp:revision>
  <cp:lastPrinted>2024-10-28T12:05:00Z</cp:lastPrinted>
  <dcterms:created xsi:type="dcterms:W3CDTF">2024-10-29T09:15:00Z</dcterms:created>
  <dcterms:modified xsi:type="dcterms:W3CDTF">2024-11-05T11:02:00Z</dcterms:modified>
</cp:coreProperties>
</file>