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41C2" w14:textId="2D8026DB" w:rsidR="008475B6" w:rsidRPr="008475B6" w:rsidRDefault="008475B6" w:rsidP="008475B6">
      <w:pPr>
        <w:spacing w:after="0" w:line="288" w:lineRule="auto"/>
        <w:ind w:left="720"/>
        <w:jc w:val="right"/>
        <w:rPr>
          <w:rFonts w:ascii="Arial" w:hAnsi="Arial" w:cs="Arial"/>
          <w:b/>
        </w:rPr>
      </w:pPr>
      <w:r w:rsidRPr="008475B6">
        <w:rPr>
          <w:rFonts w:ascii="Arial" w:hAnsi="Arial" w:cs="Arial"/>
          <w:b/>
        </w:rPr>
        <w:t>Załącznik nr 1</w:t>
      </w:r>
      <w:r w:rsidR="009E1CBE">
        <w:rPr>
          <w:rFonts w:ascii="Arial" w:hAnsi="Arial" w:cs="Arial"/>
          <w:b/>
        </w:rPr>
        <w:t>2</w:t>
      </w:r>
      <w:r w:rsidRPr="008475B6">
        <w:rPr>
          <w:rFonts w:ascii="Arial" w:hAnsi="Arial" w:cs="Arial"/>
          <w:b/>
        </w:rPr>
        <w:t xml:space="preserve"> do SWZ</w:t>
      </w:r>
    </w:p>
    <w:p w14:paraId="59E023C8" w14:textId="2DF5E6A7" w:rsidR="00B0242F" w:rsidRDefault="00B0242F" w:rsidP="008475B6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 w:rsidRPr="00B0242F">
        <w:rPr>
          <w:rFonts w:ascii="Arial" w:hAnsi="Arial" w:cs="Arial"/>
          <w:b/>
        </w:rPr>
        <w:t>2024/WJ00/WNP-047064/88/ZL</w:t>
      </w:r>
    </w:p>
    <w:p w14:paraId="236859C8" w14:textId="23882868" w:rsidR="0040015D" w:rsidRPr="000527FB" w:rsidRDefault="00E604EC" w:rsidP="000527FB">
      <w:pPr>
        <w:pStyle w:val="Bezodstpw"/>
        <w:numPr>
          <w:ilvl w:val="0"/>
          <w:numId w:val="19"/>
        </w:numPr>
        <w:spacing w:after="120" w:line="288" w:lineRule="auto"/>
        <w:ind w:left="357" w:hanging="357"/>
        <w:rPr>
          <w:rFonts w:ascii="Arial" w:hAnsi="Arial" w:cs="Arial"/>
          <w:b/>
          <w:bCs/>
        </w:rPr>
      </w:pPr>
      <w:r w:rsidRPr="00825441">
        <w:rPr>
          <w:rFonts w:ascii="Arial" w:hAnsi="Arial" w:cs="Arial"/>
          <w:b/>
          <w:bCs/>
        </w:rPr>
        <w:t xml:space="preserve">Wykaz wewnętrznych regulacji obowiązujących w </w:t>
      </w:r>
      <w:r w:rsidR="000527FB">
        <w:rPr>
          <w:rFonts w:ascii="Arial" w:hAnsi="Arial" w:cs="Arial"/>
          <w:b/>
          <w:bCs/>
        </w:rPr>
        <w:t>PSG</w:t>
      </w:r>
      <w:r w:rsidRPr="00825441">
        <w:rPr>
          <w:rFonts w:ascii="Arial" w:hAnsi="Arial" w:cs="Arial"/>
          <w:b/>
          <w:bCs/>
        </w:rPr>
        <w:t xml:space="preserve"> sp. z o.o. dotyczących realizacji przedmiotu zamówienia</w:t>
      </w:r>
    </w:p>
    <w:p w14:paraId="35D50D04" w14:textId="77777777" w:rsidR="009E1CBE" w:rsidRDefault="009E1CBE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9E1CBE">
        <w:rPr>
          <w:rFonts w:ascii="Arial" w:hAnsi="Arial" w:cs="Arial"/>
        </w:rPr>
        <w:t>Wymagania w zakresie nadzorowania i raportowania dla robót budowlanych współfinasowanych ze środków UE oraz pozostałych zadań inwestycyjnych o wartości szacunkowej zamówienia powyżej 20 mln PLN netto</w:t>
      </w:r>
    </w:p>
    <w:p w14:paraId="277388AF" w14:textId="54CC1F2E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wykonywania inwentaryzacji i waloryzacji przyrodniczej obszaru oddziaływania, sprawowania nadzoru przyrodniczego oraz wykonywania Planu Zadań Ochrony Środowiska dla inwestycji PSG sp. z o.o.</w:t>
      </w:r>
    </w:p>
    <w:p w14:paraId="543AA661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projektowania i budowy ochrony przeciwkorozyjnej stalowych sieci gazowych</w:t>
      </w:r>
    </w:p>
    <w:p w14:paraId="532D05B6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w zakresie wizualizacji stacji, zespołów gazowych oraz naziemnych układów gazowych</w:t>
      </w:r>
    </w:p>
    <w:p w14:paraId="215A26E5" w14:textId="6318012D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Zasady organizacji, wykonywania i dokumentowania prac gazoniebezpiecznych w P</w:t>
      </w:r>
      <w:r w:rsidR="001D7F24">
        <w:rPr>
          <w:rFonts w:ascii="Arial" w:hAnsi="Arial" w:cs="Arial"/>
        </w:rPr>
        <w:t xml:space="preserve">olskiej Spółce Gazownictwa </w:t>
      </w:r>
    </w:p>
    <w:p w14:paraId="3DAC4B29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projektowania i budowy stacji gazowych i zespołów gazowych na przyłączu </w:t>
      </w:r>
    </w:p>
    <w:p w14:paraId="2EB85C58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Wymagania techniczne dla gazomierzy inteligentnych stosowanych w PSG </w:t>
      </w:r>
    </w:p>
    <w:p w14:paraId="19C675AC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Realizacja inwestycji i remontów w Polskiej Spółce Gazownictwa sp. z o.o. </w:t>
      </w:r>
    </w:p>
    <w:p w14:paraId="7DD4EB5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spajania i napraw stalowych sieci gazowych </w:t>
      </w:r>
    </w:p>
    <w:p w14:paraId="4434B29A" w14:textId="77777777" w:rsidR="0040015D" w:rsidRDefault="0040015D" w:rsidP="000527FB">
      <w:pPr>
        <w:pStyle w:val="Bezodstpw"/>
        <w:numPr>
          <w:ilvl w:val="0"/>
          <w:numId w:val="17"/>
        </w:num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 xml:space="preserve">Zasady budowy, technologii zgrzewania i napraw polietylenowych sieci gazowych </w:t>
      </w:r>
    </w:p>
    <w:p w14:paraId="36311C59" w14:textId="77A30646" w:rsidR="00461B6E" w:rsidRDefault="0040015D" w:rsidP="008475B6">
      <w:pPr>
        <w:pStyle w:val="Bezodstpw"/>
        <w:numPr>
          <w:ilvl w:val="0"/>
          <w:numId w:val="17"/>
        </w:numPr>
        <w:spacing w:line="288" w:lineRule="auto"/>
        <w:ind w:left="357" w:hanging="357"/>
        <w:jc w:val="both"/>
        <w:rPr>
          <w:rFonts w:ascii="Arial" w:hAnsi="Arial" w:cs="Arial"/>
        </w:rPr>
      </w:pPr>
      <w:r w:rsidRPr="0040015D">
        <w:rPr>
          <w:rFonts w:ascii="Arial" w:hAnsi="Arial" w:cs="Arial"/>
        </w:rPr>
        <w:t>Instrukcja nadzoru spawalniczego w PSG sp. z o.o.</w:t>
      </w:r>
    </w:p>
    <w:p w14:paraId="57DF2FC1" w14:textId="77777777" w:rsid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</w:rPr>
      </w:pPr>
    </w:p>
    <w:p w14:paraId="33157D6E" w14:textId="3FF6745E" w:rsidR="008475B6" w:rsidRPr="008475B6" w:rsidRDefault="008475B6" w:rsidP="008475B6">
      <w:pPr>
        <w:pStyle w:val="Bezodstpw"/>
        <w:spacing w:line="288" w:lineRule="auto"/>
        <w:jc w:val="both"/>
        <w:rPr>
          <w:rFonts w:ascii="Arial" w:hAnsi="Arial" w:cs="Arial"/>
          <w:b/>
          <w:bCs/>
        </w:rPr>
      </w:pPr>
      <w:r w:rsidRPr="008475B6">
        <w:rPr>
          <w:rFonts w:ascii="Arial" w:hAnsi="Arial" w:cs="Arial"/>
          <w:b/>
          <w:bCs/>
        </w:rPr>
        <w:t xml:space="preserve">Powyższe regulacje zawarte </w:t>
      </w:r>
      <w:r>
        <w:rPr>
          <w:rFonts w:ascii="Arial" w:hAnsi="Arial" w:cs="Arial"/>
          <w:b/>
          <w:bCs/>
        </w:rPr>
        <w:t>są</w:t>
      </w:r>
      <w:r w:rsidRPr="008475B6">
        <w:rPr>
          <w:rFonts w:ascii="Arial" w:hAnsi="Arial" w:cs="Arial"/>
          <w:b/>
          <w:bCs/>
        </w:rPr>
        <w:t xml:space="preserve"> w pliku Załącznik nr 2 do OPZ</w:t>
      </w:r>
    </w:p>
    <w:p w14:paraId="0ABF19FA" w14:textId="77777777" w:rsidR="008475B6" w:rsidRPr="0040015D" w:rsidRDefault="008475B6" w:rsidP="00485DA1">
      <w:pPr>
        <w:pStyle w:val="Bezodstpw"/>
        <w:spacing w:after="120" w:line="288" w:lineRule="auto"/>
        <w:jc w:val="both"/>
        <w:rPr>
          <w:rFonts w:ascii="Arial" w:hAnsi="Arial" w:cs="Arial"/>
        </w:rPr>
      </w:pPr>
    </w:p>
    <w:p w14:paraId="444C8754" w14:textId="37CC71B1" w:rsidR="007920D8" w:rsidRPr="000527FB" w:rsidRDefault="00E54731" w:rsidP="000527FB">
      <w:pPr>
        <w:pStyle w:val="Akapitzlist"/>
        <w:numPr>
          <w:ilvl w:val="0"/>
          <w:numId w:val="19"/>
        </w:numPr>
        <w:spacing w:after="120" w:line="288" w:lineRule="auto"/>
        <w:ind w:left="357" w:hanging="357"/>
        <w:contextualSpacing w:val="0"/>
        <w:rPr>
          <w:rFonts w:ascii="Arial" w:hAnsi="Arial" w:cs="Arial"/>
          <w:b/>
          <w:bCs/>
        </w:rPr>
      </w:pPr>
      <w:r w:rsidRPr="000527FB">
        <w:rPr>
          <w:rFonts w:ascii="Arial" w:hAnsi="Arial" w:cs="Arial"/>
          <w:b/>
          <w:bCs/>
        </w:rPr>
        <w:t>Informacje dodatkowe</w:t>
      </w:r>
    </w:p>
    <w:p w14:paraId="74DD1EAC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kwalifikowalności 2021-2027 dla projektów realizowanych z Funduszy Europejskich na Infrastrukturę, Klimat i Środowisko 2021-2027, Działanie FE-nIKS.02.03 Infrastruktura energetyczna znajdują się pod linkiem: </w:t>
      </w:r>
      <w:hyperlink r:id="rId7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https://www.feniks.gov.pl/strony/dowiedz-sie-wiecej-o-programie/prawo-i-dokumenty/wytyczne-dotyczace-kwalifikowalnosci-2021-2027/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61EEB24E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Wytyczne dotyczące realizacji zasad równościowych w ramach funduszy unijnych na lata 2021-2027 dla projektów realizowanych z Funduszy Europejskich na Infrastrukturę, Klimat i Środowisko 2021-2027, Działanie FE-nIKS.02.03 Infrastruktura energetyczna znajdują się pod linkiem: </w:t>
      </w:r>
      <w:hyperlink r:id="rId8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https://www.feniks.gov.pl/strony/dowiedz-sie-wiecej-o-programie/prawo-i-dokumenty/wytyczne-dotyczace-realizacji-zasad-rownosciowych-w-ramach-funduszy-unijnych-na-lata-2021-2027/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</w:t>
      </w:r>
    </w:p>
    <w:p w14:paraId="1D3B4410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Normy polskie dostępne są w siedzibie i na stronie internetowej Polskiego Komitetu Normalizacyjnego ul. Świętokrzyska 14, 00-050 Warszawa, </w:t>
      </w:r>
      <w:hyperlink r:id="rId9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www.pkn.pl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AED89B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lastRenderedPageBreak/>
        <w:t xml:space="preserve">Normy zakładowe i standardy techniczne dostępne są w siedzibie i na stronie internetowej Izby Gospodarczej Gazownictwa ul. Kasprzaka 25, 01-224 Warszawa, </w:t>
      </w:r>
      <w:hyperlink r:id="rId10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www.igg.pl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oraz Biblioteki Głównej Akademii Górniczo-Hutniczej im. Stanisława Staszica w Krakowie, al. Mickiewicza 30, 30-059 Kraków, </w:t>
      </w:r>
      <w:hyperlink r:id="rId11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www.bg.agh.edu.pl</w:t>
        </w:r>
      </w:hyperlink>
      <w:r w:rsidRPr="00A87AAB">
        <w:rPr>
          <w:rFonts w:ascii="Arial" w:eastAsia="Times New Roman" w:hAnsi="Arial" w:cs="Arial"/>
          <w:bCs/>
          <w:lang w:eastAsia="pl-PL"/>
        </w:rPr>
        <w:t>.</w:t>
      </w:r>
      <w:bookmarkStart w:id="0" w:name="_Hlk146019087"/>
    </w:p>
    <w:bookmarkEnd w:id="0"/>
    <w:p w14:paraId="1FB86E07" w14:textId="77777777" w:rsidR="00A87AAB" w:rsidRPr="00A87AAB" w:rsidRDefault="00A87AAB" w:rsidP="000527FB">
      <w:pPr>
        <w:numPr>
          <w:ilvl w:val="0"/>
          <w:numId w:val="15"/>
        </w:numPr>
        <w:spacing w:after="120" w:line="288" w:lineRule="auto"/>
        <w:ind w:left="357" w:hanging="357"/>
        <w:jc w:val="both"/>
        <w:rPr>
          <w:rFonts w:ascii="Arial" w:eastAsia="Times New Roman" w:hAnsi="Arial" w:cs="Arial"/>
          <w:bCs/>
          <w:iCs/>
          <w:lang w:eastAsia="pl-PL"/>
        </w:rPr>
      </w:pPr>
      <w:r w:rsidRPr="00A87AAB">
        <w:rPr>
          <w:rFonts w:ascii="Arial" w:eastAsia="Times New Roman" w:hAnsi="Arial" w:cs="Arial"/>
          <w:bCs/>
          <w:lang w:eastAsia="pl-PL"/>
        </w:rPr>
        <w:t xml:space="preserve">Wykonawca jest zobowiązany do zapoznania się i zastosowania w realizacji zamówienia Wymagań dla Wykonawców zewnętrznych, w szczególności Ogólnych Warunków Umów, Ogólnych Wytycznych Dotyczących Ubezpieczeń, wymagań technicznych, procesu inwestycyjnego oraz BHP i Ochrony środowiska, wraz z załącznikami, dostępnych na stronie </w:t>
      </w:r>
      <w:hyperlink r:id="rId12" w:history="1">
        <w:r w:rsidRPr="00A87AAB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www.psgaz.pl</w:t>
        </w:r>
      </w:hyperlink>
      <w:r w:rsidRPr="00A87AAB">
        <w:rPr>
          <w:rFonts w:ascii="Arial" w:eastAsia="Times New Roman" w:hAnsi="Arial" w:cs="Arial"/>
          <w:bCs/>
          <w:lang w:eastAsia="pl-PL"/>
        </w:rPr>
        <w:t xml:space="preserve"> w zakładce:</w:t>
      </w:r>
    </w:p>
    <w:p w14:paraId="5D596E4E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techniczne / Regulacje wewnętrzne – Pliki do pobrania</w:t>
      </w:r>
    </w:p>
    <w:p w14:paraId="73C34A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procesu inwestycyjnego / Regulacje wewnętrzne – Pliki do pobrania</w:t>
      </w:r>
    </w:p>
    <w:p w14:paraId="3192ABB5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BHP i Ochrony środowiska / Wymagania dla Wykonawców – Pliki do pobrania</w:t>
      </w:r>
    </w:p>
    <w:p w14:paraId="61B10F43" w14:textId="77777777" w:rsid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Wymagania dla Wykonawców / Wymagania Procesu Inwestycyjnego</w:t>
      </w:r>
    </w:p>
    <w:p w14:paraId="7B19C7FA" w14:textId="4C54864D" w:rsidR="00A87AAB" w:rsidRPr="0061005B" w:rsidRDefault="00A87AAB" w:rsidP="000527FB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spacing w:after="120" w:line="288" w:lineRule="auto"/>
        <w:ind w:left="714" w:hanging="357"/>
        <w:contextualSpacing w:val="0"/>
        <w:jc w:val="both"/>
        <w:rPr>
          <w:rFonts w:ascii="Arial" w:eastAsia="Times New Roman" w:hAnsi="Arial" w:cs="Arial"/>
          <w:bCs/>
          <w:lang w:eastAsia="pl-PL"/>
        </w:rPr>
      </w:pPr>
      <w:r w:rsidRPr="0061005B">
        <w:rPr>
          <w:rFonts w:ascii="Arial" w:eastAsia="Times New Roman" w:hAnsi="Arial" w:cs="Arial"/>
          <w:bCs/>
          <w:lang w:eastAsia="pl-PL"/>
        </w:rPr>
        <w:t>Dla Kontrahenta / Pliki do pobrania</w:t>
      </w:r>
    </w:p>
    <w:p w14:paraId="1EDCF69C" w14:textId="77777777" w:rsidR="00EB4F57" w:rsidRPr="00EB4F57" w:rsidRDefault="00EB4F57" w:rsidP="000527FB">
      <w:pPr>
        <w:shd w:val="clear" w:color="auto" w:fill="FFFFFF"/>
        <w:autoSpaceDE w:val="0"/>
        <w:autoSpaceDN w:val="0"/>
        <w:spacing w:after="120" w:line="288" w:lineRule="auto"/>
        <w:jc w:val="both"/>
        <w:rPr>
          <w:rFonts w:ascii="Arial" w:eastAsia="Times New Roman" w:hAnsi="Arial" w:cs="Arial"/>
          <w:bCs/>
          <w:lang w:eastAsia="pl-PL"/>
        </w:rPr>
      </w:pPr>
      <w:r w:rsidRPr="00EB4F57">
        <w:rPr>
          <w:rFonts w:ascii="Arial" w:eastAsia="Times New Roman" w:hAnsi="Arial" w:cs="Arial"/>
          <w:bCs/>
          <w:lang w:eastAsia="pl-PL"/>
        </w:rPr>
        <w:t>Zamawiający zastrzega, że złożenie oferty jest równoznaczne z zapoznaniem się i akceptacją dokumentów, o których mowa powyżej.</w:t>
      </w:r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37F64" w14:textId="77777777" w:rsidR="00E8429E" w:rsidRDefault="00E8429E" w:rsidP="00E604EC">
      <w:pPr>
        <w:spacing w:after="0" w:line="240" w:lineRule="auto"/>
      </w:pPr>
      <w:r>
        <w:separator/>
      </w:r>
    </w:p>
  </w:endnote>
  <w:endnote w:type="continuationSeparator" w:id="0">
    <w:p w14:paraId="782AD024" w14:textId="77777777" w:rsidR="00E8429E" w:rsidRDefault="00E8429E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FD45" w14:textId="77777777" w:rsidR="00E8429E" w:rsidRDefault="00E8429E" w:rsidP="00E604EC">
      <w:pPr>
        <w:spacing w:after="0" w:line="240" w:lineRule="auto"/>
      </w:pPr>
      <w:r>
        <w:separator/>
      </w:r>
    </w:p>
  </w:footnote>
  <w:footnote w:type="continuationSeparator" w:id="0">
    <w:p w14:paraId="72F0C713" w14:textId="77777777" w:rsidR="00E8429E" w:rsidRDefault="00E8429E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22BD8"/>
    <w:rsid w:val="001B2ECD"/>
    <w:rsid w:val="001D284E"/>
    <w:rsid w:val="001D7F24"/>
    <w:rsid w:val="001E6EB0"/>
    <w:rsid w:val="002E1123"/>
    <w:rsid w:val="003144F7"/>
    <w:rsid w:val="0040015D"/>
    <w:rsid w:val="004223E6"/>
    <w:rsid w:val="00461B6E"/>
    <w:rsid w:val="00485DA1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475B6"/>
    <w:rsid w:val="00880502"/>
    <w:rsid w:val="00952507"/>
    <w:rsid w:val="00953E05"/>
    <w:rsid w:val="009E1CBE"/>
    <w:rsid w:val="009E62FD"/>
    <w:rsid w:val="00A0612C"/>
    <w:rsid w:val="00A87AAB"/>
    <w:rsid w:val="00B0242F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D0282E"/>
    <w:rsid w:val="00D52B45"/>
    <w:rsid w:val="00DA206A"/>
    <w:rsid w:val="00DA558B"/>
    <w:rsid w:val="00DC3164"/>
    <w:rsid w:val="00DE0D24"/>
    <w:rsid w:val="00E41EAD"/>
    <w:rsid w:val="00E54731"/>
    <w:rsid w:val="00E604EC"/>
    <w:rsid w:val="00E8429E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niks.gov.pl/strony/dowiedz-sie-wiecej-o-programie/prawo-i-dokumenty/wytyczne-dotyczace-realizacji-zasad-rownosciowych-w-ramach-funduszy-unijnych-na-lata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niks.gov.pl/strony/dowiedz-sie-wiecej-o-programie/prawo-i-dokumenty/wytyczne-dotyczace-kwalifikowalnosci-2021-2027/" TargetMode="External"/><Relationship Id="rId12" Type="http://schemas.openxmlformats.org/officeDocument/2006/relationships/hyperlink" Target="http://www.psg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g.agh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g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k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25</cp:revision>
  <dcterms:created xsi:type="dcterms:W3CDTF">2023-09-11T12:22:00Z</dcterms:created>
  <dcterms:modified xsi:type="dcterms:W3CDTF">2024-04-17T07:20:00Z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