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41C2" w14:textId="11647193" w:rsidR="008475B6" w:rsidRDefault="008475B6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Załącznik nr 1</w:t>
      </w:r>
      <w:r w:rsidR="009B75E7">
        <w:rPr>
          <w:rFonts w:ascii="Arial" w:hAnsi="Arial" w:cs="Arial"/>
          <w:b/>
        </w:rPr>
        <w:t xml:space="preserve">2 </w:t>
      </w:r>
      <w:r w:rsidRPr="008475B6">
        <w:rPr>
          <w:rFonts w:ascii="Arial" w:hAnsi="Arial" w:cs="Arial"/>
          <w:b/>
        </w:rPr>
        <w:t>do SWZ</w:t>
      </w:r>
    </w:p>
    <w:p w14:paraId="39AFDD9B" w14:textId="77777777" w:rsidR="00453423" w:rsidRPr="008475B6" w:rsidRDefault="00453423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</w:p>
    <w:p w14:paraId="236859C8" w14:textId="320C1ED3" w:rsidR="0040015D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  <w:r w:rsidR="00453423">
        <w:rPr>
          <w:rFonts w:ascii="Arial" w:hAnsi="Arial" w:cs="Arial"/>
          <w:b/>
          <w:bCs/>
        </w:rPr>
        <w:t xml:space="preserve"> (postępowanie 2024/W800/WNP-04</w:t>
      </w:r>
      <w:r w:rsidR="00C40759">
        <w:rPr>
          <w:rFonts w:ascii="Arial" w:hAnsi="Arial" w:cs="Arial"/>
          <w:b/>
          <w:bCs/>
        </w:rPr>
        <w:t>9696</w:t>
      </w:r>
      <w:r w:rsidR="00453423">
        <w:rPr>
          <w:rFonts w:ascii="Arial" w:hAnsi="Arial" w:cs="Arial"/>
          <w:b/>
          <w:bCs/>
        </w:rPr>
        <w:t>)</w:t>
      </w:r>
    </w:p>
    <w:p w14:paraId="178A3CD0" w14:textId="2D4BC484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Wymagania w zakresie nadzorowania i raportowania dla robót budowlanych realizowanych w ramach Inwestycji Strategicznych oraz pozostałych zadań inwestycyjnych o wartości szacunkowej zamówienia powyżej 10 mln PLN netto</w:t>
      </w:r>
    </w:p>
    <w:p w14:paraId="277388AF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8475B6">
      <w:pPr>
        <w:pStyle w:val="Bezodstpw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0ABF19FA" w14:textId="77777777" w:rsidR="008475B6" w:rsidRPr="0040015D" w:rsidRDefault="008475B6" w:rsidP="00485DA1">
      <w:pPr>
        <w:pStyle w:val="Bezodstpw"/>
        <w:spacing w:after="120" w:line="288" w:lineRule="auto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03BADF23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</w:t>
      </w:r>
      <w:r w:rsidR="00453423" w:rsidRPr="00F8328E">
        <w:rPr>
          <w:rFonts w:ascii="Arial" w:hAnsi="Arial" w:cs="Arial"/>
        </w:rPr>
        <w:t xml:space="preserve">FENX.02.03 </w:t>
      </w:r>
      <w:r w:rsidRPr="00A87AAB">
        <w:rPr>
          <w:rFonts w:ascii="Arial" w:eastAsia="Times New Roman" w:hAnsi="Arial" w:cs="Arial"/>
          <w:bCs/>
          <w:lang w:eastAsia="pl-PL"/>
        </w:rPr>
        <w:t xml:space="preserve">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441915AA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</w:t>
      </w:r>
      <w:r w:rsidR="00453423" w:rsidRPr="00F8328E">
        <w:rPr>
          <w:rFonts w:ascii="Arial" w:hAnsi="Arial" w:cs="Arial"/>
        </w:rPr>
        <w:t xml:space="preserve">FENX.02.03 </w:t>
      </w:r>
      <w:r w:rsidRPr="00A87AAB">
        <w:rPr>
          <w:rFonts w:ascii="Arial" w:eastAsia="Times New Roman" w:hAnsi="Arial" w:cs="Arial"/>
          <w:bCs/>
          <w:lang w:eastAsia="pl-PL"/>
        </w:rPr>
        <w:t xml:space="preserve">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</w:t>
      </w:r>
      <w:r w:rsidRPr="00A87AAB">
        <w:rPr>
          <w:rFonts w:ascii="Arial" w:eastAsia="Times New Roman" w:hAnsi="Arial" w:cs="Arial"/>
          <w:bCs/>
          <w:lang w:eastAsia="pl-PL"/>
        </w:rPr>
        <w:lastRenderedPageBreak/>
        <w:t>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132B" w14:textId="77777777" w:rsidR="004223E6" w:rsidRDefault="004223E6" w:rsidP="00E604EC">
      <w:pPr>
        <w:spacing w:after="0" w:line="240" w:lineRule="auto"/>
      </w:pPr>
      <w:r>
        <w:separator/>
      </w:r>
    </w:p>
  </w:endnote>
  <w:endnote w:type="continuationSeparator" w:id="0">
    <w:p w14:paraId="0C2358C1" w14:textId="77777777" w:rsidR="004223E6" w:rsidRDefault="004223E6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D2378" w14:textId="77777777" w:rsidR="004223E6" w:rsidRDefault="004223E6" w:rsidP="00E604EC">
      <w:pPr>
        <w:spacing w:after="0" w:line="240" w:lineRule="auto"/>
      </w:pPr>
      <w:r>
        <w:separator/>
      </w:r>
    </w:p>
  </w:footnote>
  <w:footnote w:type="continuationSeparator" w:id="0">
    <w:p w14:paraId="7ACA11EB" w14:textId="77777777" w:rsidR="004223E6" w:rsidRDefault="004223E6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22BD8"/>
    <w:rsid w:val="001B2ECD"/>
    <w:rsid w:val="001D284E"/>
    <w:rsid w:val="001D7F24"/>
    <w:rsid w:val="001E6EB0"/>
    <w:rsid w:val="002E1123"/>
    <w:rsid w:val="003144F7"/>
    <w:rsid w:val="0040015D"/>
    <w:rsid w:val="004223E6"/>
    <w:rsid w:val="00453423"/>
    <w:rsid w:val="00461B6E"/>
    <w:rsid w:val="00485DA1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505B4"/>
    <w:rsid w:val="007734AB"/>
    <w:rsid w:val="007920D8"/>
    <w:rsid w:val="007A0E61"/>
    <w:rsid w:val="007E1FCA"/>
    <w:rsid w:val="00825441"/>
    <w:rsid w:val="0083098B"/>
    <w:rsid w:val="0084285D"/>
    <w:rsid w:val="008475B6"/>
    <w:rsid w:val="00880502"/>
    <w:rsid w:val="00952507"/>
    <w:rsid w:val="00953E05"/>
    <w:rsid w:val="009B75E7"/>
    <w:rsid w:val="009E62FD"/>
    <w:rsid w:val="00A0612C"/>
    <w:rsid w:val="00A87AAB"/>
    <w:rsid w:val="00A933B2"/>
    <w:rsid w:val="00B02EF1"/>
    <w:rsid w:val="00B054C3"/>
    <w:rsid w:val="00B60727"/>
    <w:rsid w:val="00B94154"/>
    <w:rsid w:val="00C1128A"/>
    <w:rsid w:val="00C21450"/>
    <w:rsid w:val="00C21AC3"/>
    <w:rsid w:val="00C3100B"/>
    <w:rsid w:val="00C40759"/>
    <w:rsid w:val="00C66F11"/>
    <w:rsid w:val="00D0282E"/>
    <w:rsid w:val="00D52B45"/>
    <w:rsid w:val="00DA206A"/>
    <w:rsid w:val="00DA558B"/>
    <w:rsid w:val="00DC3164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Małecka Joanna (PSG)</cp:lastModifiedBy>
  <cp:revision>2</cp:revision>
  <cp:lastPrinted>2024-04-19T11:30:00Z</cp:lastPrinted>
  <dcterms:created xsi:type="dcterms:W3CDTF">2024-11-25T08:04:00Z</dcterms:created>
  <dcterms:modified xsi:type="dcterms:W3CDTF">2024-11-25T08:04:00Z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