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E47B0" w14:textId="59D23B83" w:rsidR="00B3731E" w:rsidRPr="00B3731E" w:rsidRDefault="00B3731E" w:rsidP="00B3731E">
      <w:pPr>
        <w:spacing w:after="0"/>
        <w:jc w:val="right"/>
        <w:rPr>
          <w:rFonts w:ascii="Arial" w:hAnsi="Arial" w:cs="Arial"/>
          <w:sz w:val="20"/>
          <w:szCs w:val="20"/>
        </w:rPr>
      </w:pPr>
      <w:r w:rsidRPr="00B3731E">
        <w:rPr>
          <w:rFonts w:ascii="Arial" w:hAnsi="Arial" w:cs="Arial"/>
          <w:sz w:val="20"/>
          <w:szCs w:val="20"/>
        </w:rPr>
        <w:t>Załącznik Nr 2 do ogłoszenia</w:t>
      </w:r>
    </w:p>
    <w:p w14:paraId="5303E1CA" w14:textId="53368EBA" w:rsidR="002F0570" w:rsidRPr="00504F8E" w:rsidRDefault="002F0570" w:rsidP="001C5D52">
      <w:pPr>
        <w:spacing w:after="0"/>
        <w:jc w:val="center"/>
        <w:rPr>
          <w:rFonts w:ascii="Arial" w:hAnsi="Arial" w:cs="Arial"/>
          <w:b/>
          <w:bCs/>
          <w:sz w:val="20"/>
          <w:szCs w:val="20"/>
        </w:rPr>
      </w:pPr>
      <w:r w:rsidRPr="00504F8E">
        <w:rPr>
          <w:rFonts w:ascii="Arial" w:hAnsi="Arial" w:cs="Arial"/>
          <w:b/>
          <w:bCs/>
          <w:sz w:val="20"/>
          <w:szCs w:val="20"/>
        </w:rPr>
        <w:t>Opis Przedmiotu Zamówienia</w:t>
      </w:r>
    </w:p>
    <w:p w14:paraId="56F9D8B3" w14:textId="77777777" w:rsidR="002F0570" w:rsidRPr="00504F8E" w:rsidRDefault="002F0570" w:rsidP="002F0570">
      <w:pPr>
        <w:spacing w:after="0" w:line="240" w:lineRule="auto"/>
        <w:jc w:val="center"/>
        <w:rPr>
          <w:rFonts w:ascii="Arial" w:hAnsi="Arial" w:cs="Arial"/>
          <w:b/>
          <w:bCs/>
          <w:sz w:val="20"/>
          <w:szCs w:val="20"/>
        </w:rPr>
      </w:pPr>
    </w:p>
    <w:p w14:paraId="5AA276D5" w14:textId="390EC15C" w:rsidR="001B2D55" w:rsidRPr="00BC40DF" w:rsidRDefault="00B3731E" w:rsidP="002F0570">
      <w:pPr>
        <w:spacing w:after="0"/>
        <w:jc w:val="both"/>
        <w:rPr>
          <w:rFonts w:ascii="Arial" w:hAnsi="Arial" w:cs="Arial"/>
          <w:b/>
          <w:bCs/>
          <w:i/>
          <w:iCs/>
          <w:sz w:val="20"/>
          <w:szCs w:val="20"/>
        </w:rPr>
      </w:pPr>
      <w:r>
        <w:rPr>
          <w:rFonts w:ascii="Arial" w:hAnsi="Arial" w:cs="Arial"/>
          <w:sz w:val="20"/>
          <w:szCs w:val="20"/>
        </w:rPr>
        <w:t xml:space="preserve">dotyczy ogłoszenia o zamówieniu: </w:t>
      </w:r>
      <w:r>
        <w:t>Dostawa</w:t>
      </w:r>
      <w:r w:rsidR="002D3B26">
        <w:t xml:space="preserve"> </w:t>
      </w:r>
      <w:r w:rsidR="005D065A">
        <w:t xml:space="preserve">Meble biurowe- krzesła </w:t>
      </w:r>
      <w:r>
        <w:rPr>
          <w:color w:val="000000"/>
        </w:rPr>
        <w:t>w</w:t>
      </w:r>
      <w:r w:rsidRPr="00B31516">
        <w:rPr>
          <w:color w:val="000000"/>
        </w:rPr>
        <w:t xml:space="preserve"> </w:t>
      </w:r>
      <w:r w:rsidRPr="00B31516">
        <w:t xml:space="preserve">ramach projektu </w:t>
      </w:r>
      <w:r w:rsidRPr="00B31516">
        <w:rPr>
          <w:color w:val="000000"/>
        </w:rPr>
        <w:t>„</w:t>
      </w:r>
      <w:r>
        <w:rPr>
          <w:color w:val="000000"/>
        </w:rPr>
        <w:t>Rozwój kształcenia zawodowego szkół Miasta Zamość II</w:t>
      </w:r>
      <w:r w:rsidRPr="00B31516">
        <w:rPr>
          <w:color w:val="000000"/>
        </w:rPr>
        <w:t>”</w:t>
      </w:r>
    </w:p>
    <w:p w14:paraId="66F6156A" w14:textId="77777777" w:rsidR="009B2C3E" w:rsidRPr="00506187" w:rsidRDefault="009B2C3E" w:rsidP="002F0570">
      <w:pPr>
        <w:spacing w:after="0"/>
        <w:jc w:val="both"/>
        <w:rPr>
          <w:rFonts w:ascii="Arial" w:hAnsi="Arial" w:cs="Arial"/>
          <w:b/>
          <w:bCs/>
          <w:sz w:val="20"/>
          <w:szCs w:val="20"/>
        </w:rPr>
      </w:pPr>
    </w:p>
    <w:tbl>
      <w:tblPr>
        <w:tblW w:w="1414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4"/>
        <w:gridCol w:w="2412"/>
        <w:gridCol w:w="9783"/>
        <w:gridCol w:w="1273"/>
      </w:tblGrid>
      <w:tr w:rsidR="005B6D54" w:rsidRPr="00506187" w14:paraId="23F9142C" w14:textId="77777777" w:rsidTr="00862FD4">
        <w:trPr>
          <w:trHeight w:val="425"/>
        </w:trPr>
        <w:tc>
          <w:tcPr>
            <w:tcW w:w="674" w:type="dxa"/>
            <w:shd w:val="clear" w:color="auto" w:fill="D9D9D9"/>
            <w:noWrap/>
            <w:vAlign w:val="center"/>
          </w:tcPr>
          <w:p w14:paraId="25B5B2CE" w14:textId="77777777" w:rsidR="005B6D54" w:rsidRPr="00506187" w:rsidRDefault="005B6D54" w:rsidP="00005787">
            <w:pPr>
              <w:spacing w:after="0" w:line="240" w:lineRule="auto"/>
              <w:jc w:val="center"/>
              <w:rPr>
                <w:rFonts w:ascii="Arial" w:hAnsi="Arial" w:cs="Arial"/>
                <w:b/>
                <w:bCs/>
                <w:sz w:val="20"/>
                <w:szCs w:val="20"/>
              </w:rPr>
            </w:pPr>
            <w:r w:rsidRPr="00506187">
              <w:rPr>
                <w:rFonts w:ascii="Arial" w:hAnsi="Arial" w:cs="Arial"/>
                <w:b/>
                <w:bCs/>
                <w:sz w:val="20"/>
                <w:szCs w:val="20"/>
              </w:rPr>
              <w:t>L.p.</w:t>
            </w:r>
          </w:p>
        </w:tc>
        <w:tc>
          <w:tcPr>
            <w:tcW w:w="2412" w:type="dxa"/>
            <w:shd w:val="clear" w:color="auto" w:fill="D9D9D9"/>
            <w:noWrap/>
            <w:vAlign w:val="center"/>
          </w:tcPr>
          <w:p w14:paraId="4699521E" w14:textId="2C40FCF9" w:rsidR="008519E5" w:rsidRPr="00C872C1" w:rsidRDefault="008519E5" w:rsidP="00005787">
            <w:pPr>
              <w:spacing w:after="0" w:line="240" w:lineRule="auto"/>
              <w:jc w:val="center"/>
              <w:rPr>
                <w:rFonts w:ascii="Arial" w:hAnsi="Arial" w:cs="Arial"/>
                <w:b/>
                <w:bCs/>
                <w:sz w:val="20"/>
                <w:szCs w:val="20"/>
              </w:rPr>
            </w:pPr>
            <w:r w:rsidRPr="00C872C1">
              <w:rPr>
                <w:rFonts w:ascii="Arial" w:hAnsi="Arial" w:cs="Arial"/>
                <w:b/>
                <w:bCs/>
                <w:sz w:val="20"/>
                <w:szCs w:val="20"/>
              </w:rPr>
              <w:t>Przedmiot zamówienia</w:t>
            </w:r>
            <w:r w:rsidR="0074663F">
              <w:rPr>
                <w:rFonts w:ascii="Arial" w:hAnsi="Arial" w:cs="Arial"/>
                <w:b/>
                <w:bCs/>
                <w:sz w:val="20"/>
                <w:szCs w:val="20"/>
              </w:rPr>
              <w:t xml:space="preserve"> </w:t>
            </w:r>
          </w:p>
        </w:tc>
        <w:tc>
          <w:tcPr>
            <w:tcW w:w="9783" w:type="dxa"/>
            <w:shd w:val="clear" w:color="auto" w:fill="D9D9D9"/>
            <w:noWrap/>
            <w:vAlign w:val="center"/>
          </w:tcPr>
          <w:p w14:paraId="02F0151B" w14:textId="53960404" w:rsidR="005B6D54" w:rsidRPr="00506187" w:rsidRDefault="005B6D54" w:rsidP="00005787">
            <w:pPr>
              <w:spacing w:after="0" w:line="240" w:lineRule="auto"/>
              <w:rPr>
                <w:rFonts w:ascii="Arial" w:hAnsi="Arial" w:cs="Arial"/>
                <w:b/>
                <w:bCs/>
                <w:sz w:val="20"/>
                <w:szCs w:val="20"/>
              </w:rPr>
            </w:pPr>
            <w:r w:rsidRPr="00506187">
              <w:rPr>
                <w:rFonts w:ascii="Arial" w:hAnsi="Arial" w:cs="Arial"/>
                <w:b/>
                <w:bCs/>
                <w:sz w:val="20"/>
                <w:szCs w:val="20"/>
              </w:rPr>
              <w:t>Specyfikacja techniczna</w:t>
            </w:r>
            <w:r w:rsidR="00AD7CD3" w:rsidRPr="00506187">
              <w:rPr>
                <w:rFonts w:ascii="Arial" w:hAnsi="Arial" w:cs="Arial"/>
                <w:b/>
                <w:bCs/>
                <w:sz w:val="20"/>
                <w:szCs w:val="20"/>
              </w:rPr>
              <w:t xml:space="preserve"> </w:t>
            </w:r>
            <w:r w:rsidR="00960260" w:rsidRPr="00506187">
              <w:rPr>
                <w:rFonts w:ascii="Arial" w:hAnsi="Arial" w:cs="Arial"/>
                <w:b/>
                <w:bCs/>
                <w:sz w:val="20"/>
                <w:szCs w:val="20"/>
              </w:rPr>
              <w:t>-</w:t>
            </w:r>
            <w:r w:rsidR="00AD7CD3" w:rsidRPr="00506187">
              <w:rPr>
                <w:rFonts w:ascii="Arial" w:hAnsi="Arial" w:cs="Arial"/>
                <w:b/>
                <w:bCs/>
                <w:sz w:val="20"/>
                <w:szCs w:val="20"/>
              </w:rPr>
              <w:t xml:space="preserve"> </w:t>
            </w:r>
            <w:r w:rsidR="00960260" w:rsidRPr="00506187">
              <w:rPr>
                <w:rFonts w:ascii="Arial" w:hAnsi="Arial" w:cs="Arial"/>
                <w:b/>
                <w:bCs/>
                <w:sz w:val="20"/>
                <w:szCs w:val="20"/>
                <w:u w:val="single"/>
              </w:rPr>
              <w:t>minimalne wymagania</w:t>
            </w:r>
            <w:r w:rsidR="00960260" w:rsidRPr="00506187">
              <w:rPr>
                <w:rFonts w:ascii="Arial" w:hAnsi="Arial" w:cs="Arial"/>
                <w:b/>
                <w:bCs/>
                <w:sz w:val="20"/>
                <w:szCs w:val="20"/>
              </w:rPr>
              <w:t xml:space="preserve"> jakie musi spełniać </w:t>
            </w:r>
            <w:r w:rsidR="00B3731E">
              <w:rPr>
                <w:rFonts w:ascii="Arial" w:hAnsi="Arial" w:cs="Arial"/>
                <w:b/>
                <w:bCs/>
                <w:sz w:val="20"/>
                <w:szCs w:val="20"/>
              </w:rPr>
              <w:t>wyposażenie</w:t>
            </w:r>
          </w:p>
        </w:tc>
        <w:tc>
          <w:tcPr>
            <w:tcW w:w="1273" w:type="dxa"/>
            <w:shd w:val="clear" w:color="auto" w:fill="D9D9D9"/>
            <w:vAlign w:val="center"/>
          </w:tcPr>
          <w:p w14:paraId="4F6655DE" w14:textId="77777777" w:rsidR="005B6D54" w:rsidRPr="00506187" w:rsidRDefault="005B6D54" w:rsidP="00005787">
            <w:pPr>
              <w:spacing w:after="0" w:line="240" w:lineRule="auto"/>
              <w:jc w:val="center"/>
              <w:rPr>
                <w:rFonts w:ascii="Arial" w:hAnsi="Arial" w:cs="Arial"/>
                <w:b/>
                <w:bCs/>
                <w:sz w:val="20"/>
                <w:szCs w:val="20"/>
              </w:rPr>
            </w:pPr>
            <w:r w:rsidRPr="00506187">
              <w:rPr>
                <w:rFonts w:ascii="Arial" w:hAnsi="Arial" w:cs="Arial"/>
                <w:b/>
                <w:bCs/>
                <w:sz w:val="20"/>
                <w:szCs w:val="20"/>
              </w:rPr>
              <w:t xml:space="preserve">Ilość </w:t>
            </w:r>
            <w:r w:rsidRPr="00506187">
              <w:rPr>
                <w:rFonts w:ascii="Arial" w:hAnsi="Arial" w:cs="Arial"/>
                <w:b/>
                <w:bCs/>
                <w:sz w:val="20"/>
                <w:szCs w:val="20"/>
              </w:rPr>
              <w:br/>
              <w:t xml:space="preserve">(szt., </w:t>
            </w:r>
            <w:proofErr w:type="spellStart"/>
            <w:r w:rsidRPr="00506187">
              <w:rPr>
                <w:rFonts w:ascii="Arial" w:hAnsi="Arial" w:cs="Arial"/>
                <w:b/>
                <w:bCs/>
                <w:sz w:val="20"/>
                <w:szCs w:val="20"/>
              </w:rPr>
              <w:t>kpl</w:t>
            </w:r>
            <w:proofErr w:type="spellEnd"/>
            <w:r w:rsidRPr="00506187">
              <w:rPr>
                <w:rFonts w:ascii="Arial" w:hAnsi="Arial" w:cs="Arial"/>
                <w:b/>
                <w:bCs/>
                <w:sz w:val="20"/>
                <w:szCs w:val="20"/>
              </w:rPr>
              <w:t>, egz.)</w:t>
            </w:r>
          </w:p>
        </w:tc>
      </w:tr>
      <w:tr w:rsidR="005D065A" w:rsidRPr="00506187" w14:paraId="6B98B02F" w14:textId="77777777" w:rsidTr="00E57FAF">
        <w:trPr>
          <w:trHeight w:val="653"/>
        </w:trPr>
        <w:tc>
          <w:tcPr>
            <w:tcW w:w="674" w:type="dxa"/>
            <w:shd w:val="clear" w:color="auto" w:fill="D9D9D9"/>
            <w:noWrap/>
            <w:vAlign w:val="center"/>
          </w:tcPr>
          <w:p w14:paraId="2587A365" w14:textId="77777777" w:rsidR="005D065A" w:rsidRPr="00506187" w:rsidRDefault="005D065A" w:rsidP="005D065A">
            <w:pPr>
              <w:pStyle w:val="Akapitzlist"/>
              <w:numPr>
                <w:ilvl w:val="0"/>
                <w:numId w:val="1"/>
              </w:numPr>
              <w:spacing w:after="0" w:line="240" w:lineRule="auto"/>
              <w:jc w:val="center"/>
              <w:rPr>
                <w:rFonts w:ascii="Arial" w:hAnsi="Arial" w:cs="Arial"/>
                <w:b/>
                <w:bCs/>
                <w:sz w:val="20"/>
                <w:szCs w:val="20"/>
              </w:rPr>
            </w:pPr>
          </w:p>
        </w:tc>
        <w:tc>
          <w:tcPr>
            <w:tcW w:w="2412" w:type="dxa"/>
            <w:vAlign w:val="center"/>
          </w:tcPr>
          <w:p w14:paraId="5F941123" w14:textId="7BC54C42" w:rsidR="005D065A" w:rsidRPr="00506187" w:rsidRDefault="005D065A" w:rsidP="005D065A">
            <w:pPr>
              <w:spacing w:after="0" w:line="240" w:lineRule="auto"/>
              <w:jc w:val="center"/>
              <w:rPr>
                <w:rFonts w:ascii="Arial" w:hAnsi="Arial" w:cs="Arial"/>
                <w:sz w:val="20"/>
                <w:szCs w:val="20"/>
              </w:rPr>
            </w:pPr>
            <w:r>
              <w:t>Meble biurowe- krzesła</w:t>
            </w:r>
          </w:p>
        </w:tc>
        <w:tc>
          <w:tcPr>
            <w:tcW w:w="9783" w:type="dxa"/>
            <w:vAlign w:val="center"/>
          </w:tcPr>
          <w:p w14:paraId="36282A83" w14:textId="77777777" w:rsidR="005D065A" w:rsidRPr="004D6E7A" w:rsidRDefault="005D065A" w:rsidP="005D065A">
            <w:pPr>
              <w:rPr>
                <w:sz w:val="20"/>
                <w:szCs w:val="20"/>
              </w:rPr>
            </w:pPr>
            <w:r w:rsidRPr="004D6E7A">
              <w:rPr>
                <w:sz w:val="20"/>
                <w:szCs w:val="20"/>
              </w:rPr>
              <w:t>Siedzisko: regulacja wysokości</w:t>
            </w:r>
          </w:p>
          <w:p w14:paraId="3DF3B809" w14:textId="77777777" w:rsidR="005D065A" w:rsidRPr="004D6E7A" w:rsidRDefault="005D065A" w:rsidP="005D065A">
            <w:pPr>
              <w:rPr>
                <w:sz w:val="20"/>
                <w:szCs w:val="20"/>
              </w:rPr>
            </w:pPr>
            <w:r w:rsidRPr="004D6E7A">
              <w:rPr>
                <w:sz w:val="20"/>
                <w:szCs w:val="20"/>
              </w:rPr>
              <w:t xml:space="preserve">Materiał: odporny na uszkodzenia, łatwy </w:t>
            </w:r>
          </w:p>
          <w:p w14:paraId="49E7FFF2" w14:textId="77777777" w:rsidR="005D065A" w:rsidRPr="004D6E7A" w:rsidRDefault="005D065A" w:rsidP="005D065A">
            <w:pPr>
              <w:rPr>
                <w:sz w:val="20"/>
                <w:szCs w:val="20"/>
              </w:rPr>
            </w:pPr>
            <w:r w:rsidRPr="004D6E7A">
              <w:rPr>
                <w:sz w:val="20"/>
                <w:szCs w:val="20"/>
              </w:rPr>
              <w:t>w pielęgnacji</w:t>
            </w:r>
          </w:p>
          <w:p w14:paraId="6452B61D" w14:textId="77777777" w:rsidR="005D065A" w:rsidRPr="004D6E7A" w:rsidRDefault="005D065A" w:rsidP="005D065A">
            <w:pPr>
              <w:rPr>
                <w:sz w:val="20"/>
                <w:szCs w:val="20"/>
              </w:rPr>
            </w:pPr>
            <w:r w:rsidRPr="004D6E7A">
              <w:rPr>
                <w:sz w:val="20"/>
                <w:szCs w:val="20"/>
              </w:rPr>
              <w:t xml:space="preserve">Podstawa: na kółkach, wytrzymała </w:t>
            </w:r>
          </w:p>
          <w:p w14:paraId="54215026" w14:textId="77777777" w:rsidR="005D065A" w:rsidRPr="004D6E7A" w:rsidRDefault="005D065A" w:rsidP="005D065A">
            <w:pPr>
              <w:rPr>
                <w:sz w:val="20"/>
                <w:szCs w:val="20"/>
              </w:rPr>
            </w:pPr>
            <w:r w:rsidRPr="004D6E7A">
              <w:rPr>
                <w:sz w:val="20"/>
                <w:szCs w:val="20"/>
              </w:rPr>
              <w:t>Podłokietniki</w:t>
            </w:r>
          </w:p>
          <w:p w14:paraId="4E625570" w14:textId="1D0CA4F0" w:rsidR="005D065A" w:rsidRPr="00506187" w:rsidRDefault="005D065A" w:rsidP="005D065A">
            <w:pPr>
              <w:spacing w:after="0" w:line="240" w:lineRule="auto"/>
              <w:rPr>
                <w:rFonts w:ascii="Arial" w:hAnsi="Arial" w:cs="Arial"/>
                <w:sz w:val="20"/>
                <w:szCs w:val="20"/>
              </w:rPr>
            </w:pPr>
            <w:r w:rsidRPr="004D6E7A">
              <w:rPr>
                <w:sz w:val="20"/>
                <w:szCs w:val="20"/>
              </w:rPr>
              <w:t>Gwarancja: 24 miesiące</w:t>
            </w:r>
          </w:p>
        </w:tc>
        <w:tc>
          <w:tcPr>
            <w:tcW w:w="1273" w:type="dxa"/>
            <w:noWrap/>
            <w:vAlign w:val="center"/>
          </w:tcPr>
          <w:p w14:paraId="2D748ED8" w14:textId="3B189F68" w:rsidR="005D065A" w:rsidRPr="00506187" w:rsidRDefault="005D065A" w:rsidP="005D065A">
            <w:pPr>
              <w:spacing w:after="0" w:line="240" w:lineRule="auto"/>
              <w:jc w:val="center"/>
              <w:rPr>
                <w:rFonts w:ascii="Arial" w:hAnsi="Arial" w:cs="Arial"/>
                <w:sz w:val="20"/>
                <w:szCs w:val="20"/>
              </w:rPr>
            </w:pPr>
            <w:r>
              <w:rPr>
                <w:rFonts w:ascii="Arial" w:hAnsi="Arial" w:cs="Arial"/>
                <w:sz w:val="20"/>
                <w:szCs w:val="20"/>
              </w:rPr>
              <w:t>25</w:t>
            </w:r>
          </w:p>
        </w:tc>
      </w:tr>
      <w:tr w:rsidR="005D065A" w:rsidRPr="00506187" w14:paraId="4977A77E" w14:textId="77777777" w:rsidTr="00862FD4">
        <w:trPr>
          <w:trHeight w:val="562"/>
        </w:trPr>
        <w:tc>
          <w:tcPr>
            <w:tcW w:w="674" w:type="dxa"/>
            <w:shd w:val="clear" w:color="auto" w:fill="D9D9D9"/>
            <w:noWrap/>
            <w:vAlign w:val="center"/>
          </w:tcPr>
          <w:p w14:paraId="5BABF25C" w14:textId="77777777" w:rsidR="005D065A" w:rsidRPr="00506187" w:rsidRDefault="005D065A" w:rsidP="005D065A">
            <w:pPr>
              <w:pStyle w:val="Akapitzlist"/>
              <w:numPr>
                <w:ilvl w:val="0"/>
                <w:numId w:val="1"/>
              </w:numPr>
              <w:spacing w:after="0" w:line="240" w:lineRule="auto"/>
              <w:jc w:val="center"/>
              <w:rPr>
                <w:rFonts w:ascii="Arial" w:hAnsi="Arial" w:cs="Arial"/>
                <w:b/>
                <w:bCs/>
                <w:sz w:val="20"/>
                <w:szCs w:val="20"/>
              </w:rPr>
            </w:pPr>
          </w:p>
        </w:tc>
        <w:tc>
          <w:tcPr>
            <w:tcW w:w="2412" w:type="dxa"/>
            <w:vAlign w:val="center"/>
          </w:tcPr>
          <w:p w14:paraId="6E7D93DA" w14:textId="200071D3" w:rsidR="005D065A" w:rsidRPr="00506187" w:rsidRDefault="005D065A" w:rsidP="005D065A">
            <w:pPr>
              <w:spacing w:after="0" w:line="240" w:lineRule="auto"/>
              <w:jc w:val="center"/>
              <w:rPr>
                <w:rFonts w:ascii="Arial" w:hAnsi="Arial" w:cs="Arial"/>
                <w:sz w:val="20"/>
                <w:szCs w:val="20"/>
              </w:rPr>
            </w:pPr>
          </w:p>
        </w:tc>
        <w:tc>
          <w:tcPr>
            <w:tcW w:w="9783" w:type="dxa"/>
          </w:tcPr>
          <w:p w14:paraId="629E09A1" w14:textId="18F23C4F" w:rsidR="005D065A" w:rsidRPr="00506187" w:rsidRDefault="005D065A" w:rsidP="005D065A">
            <w:pPr>
              <w:spacing w:after="0" w:line="240" w:lineRule="auto"/>
              <w:rPr>
                <w:rFonts w:ascii="Arial" w:hAnsi="Arial" w:cs="Arial"/>
                <w:sz w:val="20"/>
                <w:szCs w:val="20"/>
              </w:rPr>
            </w:pPr>
          </w:p>
        </w:tc>
        <w:tc>
          <w:tcPr>
            <w:tcW w:w="1273" w:type="dxa"/>
            <w:noWrap/>
            <w:vAlign w:val="center"/>
          </w:tcPr>
          <w:p w14:paraId="63E45401" w14:textId="4A6ED51B" w:rsidR="005D065A" w:rsidRPr="00506187" w:rsidRDefault="005D065A" w:rsidP="005D065A">
            <w:pPr>
              <w:spacing w:after="0" w:line="240" w:lineRule="auto"/>
              <w:jc w:val="center"/>
              <w:rPr>
                <w:rFonts w:ascii="Arial" w:hAnsi="Arial" w:cs="Arial"/>
                <w:sz w:val="20"/>
                <w:szCs w:val="20"/>
              </w:rPr>
            </w:pPr>
          </w:p>
        </w:tc>
      </w:tr>
      <w:tr w:rsidR="005D065A" w:rsidRPr="00506187" w14:paraId="6994A214" w14:textId="77777777" w:rsidTr="00862FD4">
        <w:trPr>
          <w:trHeight w:val="556"/>
        </w:trPr>
        <w:tc>
          <w:tcPr>
            <w:tcW w:w="674" w:type="dxa"/>
            <w:shd w:val="clear" w:color="auto" w:fill="D9D9D9"/>
            <w:noWrap/>
            <w:vAlign w:val="center"/>
          </w:tcPr>
          <w:p w14:paraId="0E6173A7" w14:textId="77777777" w:rsidR="005D065A" w:rsidRPr="00506187" w:rsidRDefault="005D065A" w:rsidP="005D065A">
            <w:pPr>
              <w:pStyle w:val="Akapitzlist"/>
              <w:numPr>
                <w:ilvl w:val="0"/>
                <w:numId w:val="1"/>
              </w:numPr>
              <w:spacing w:after="0" w:line="240" w:lineRule="auto"/>
              <w:jc w:val="center"/>
              <w:rPr>
                <w:rFonts w:ascii="Arial" w:hAnsi="Arial" w:cs="Arial"/>
                <w:b/>
                <w:bCs/>
                <w:sz w:val="20"/>
                <w:szCs w:val="20"/>
              </w:rPr>
            </w:pPr>
          </w:p>
        </w:tc>
        <w:tc>
          <w:tcPr>
            <w:tcW w:w="2412" w:type="dxa"/>
            <w:vAlign w:val="center"/>
          </w:tcPr>
          <w:p w14:paraId="4B9E9034" w14:textId="1D98AD4D" w:rsidR="005D065A" w:rsidRPr="00506187" w:rsidRDefault="005D065A" w:rsidP="005D065A">
            <w:pPr>
              <w:spacing w:after="0" w:line="240" w:lineRule="auto"/>
              <w:jc w:val="center"/>
              <w:rPr>
                <w:rFonts w:ascii="Arial" w:hAnsi="Arial" w:cs="Arial"/>
                <w:sz w:val="20"/>
                <w:szCs w:val="20"/>
              </w:rPr>
            </w:pPr>
          </w:p>
        </w:tc>
        <w:tc>
          <w:tcPr>
            <w:tcW w:w="9783" w:type="dxa"/>
          </w:tcPr>
          <w:p w14:paraId="1D0F001F" w14:textId="55C910DC" w:rsidR="005D065A" w:rsidRPr="00506187" w:rsidRDefault="005D065A" w:rsidP="005D065A">
            <w:pPr>
              <w:spacing w:after="0" w:line="240" w:lineRule="auto"/>
              <w:rPr>
                <w:rFonts w:ascii="Arial" w:hAnsi="Arial" w:cs="Arial"/>
                <w:sz w:val="20"/>
                <w:szCs w:val="20"/>
                <w:lang w:val="en-US"/>
              </w:rPr>
            </w:pPr>
          </w:p>
        </w:tc>
        <w:tc>
          <w:tcPr>
            <w:tcW w:w="1273" w:type="dxa"/>
            <w:noWrap/>
            <w:vAlign w:val="center"/>
          </w:tcPr>
          <w:p w14:paraId="638467F2" w14:textId="4C1B7E4C" w:rsidR="005D065A" w:rsidRPr="00506187" w:rsidRDefault="005D065A" w:rsidP="005D065A">
            <w:pPr>
              <w:spacing w:after="0" w:line="240" w:lineRule="auto"/>
              <w:jc w:val="center"/>
              <w:rPr>
                <w:rFonts w:ascii="Arial" w:hAnsi="Arial" w:cs="Arial"/>
                <w:sz w:val="20"/>
                <w:szCs w:val="20"/>
              </w:rPr>
            </w:pPr>
          </w:p>
        </w:tc>
      </w:tr>
    </w:tbl>
    <w:p w14:paraId="128CEBE2" w14:textId="77777777" w:rsidR="003379A5" w:rsidRPr="00970723" w:rsidRDefault="003379A5" w:rsidP="003379A5">
      <w:pPr>
        <w:pStyle w:val="Bezodstpw"/>
        <w:numPr>
          <w:ilvl w:val="0"/>
          <w:numId w:val="5"/>
        </w:numPr>
        <w:spacing w:before="60"/>
        <w:ind w:left="567" w:hanging="567"/>
        <w:rPr>
          <w:rFonts w:ascii="Arial" w:hAnsi="Arial" w:cs="Arial"/>
          <w:szCs w:val="20"/>
        </w:rPr>
      </w:pPr>
      <w:r w:rsidRPr="00970723">
        <w:rPr>
          <w:rFonts w:ascii="Arial" w:hAnsi="Arial" w:cs="Arial"/>
          <w:szCs w:val="20"/>
        </w:rPr>
        <w:t>Określone parametry techniczne urządzeń wchodzących w skład przedmiotu umowy są wymaganiami minimalnymi. Nazwy własne producentów lub wyrobów zostały użyte wyłącznie w celu wskazania założonego standardu przyjętych rozwiązań. Zamawiający dopuszcza możliwość zaoferowania urządzeń o równoważnych lub lepszych parametrach technicznych od wymienionych powyżej. W takim przypadku Wykonawca, który powołuje się na rozwiązania równoważne do opisywanych przez Zamawiającego, jest zobowiązany wykazać, że oferowane przez niego wyposażenie spełnia wymagania określone przez Zamawiającego.</w:t>
      </w:r>
    </w:p>
    <w:p w14:paraId="4341F3A6" w14:textId="77777777" w:rsidR="003379A5" w:rsidRPr="00970723" w:rsidRDefault="003379A5" w:rsidP="003379A5">
      <w:pPr>
        <w:pStyle w:val="Bezodstpw"/>
        <w:numPr>
          <w:ilvl w:val="0"/>
          <w:numId w:val="5"/>
        </w:numPr>
        <w:spacing w:before="60"/>
        <w:ind w:left="567" w:hanging="567"/>
        <w:rPr>
          <w:rFonts w:ascii="Arial" w:hAnsi="Arial" w:cs="Arial"/>
          <w:szCs w:val="20"/>
        </w:rPr>
      </w:pPr>
      <w:r w:rsidRPr="00970723">
        <w:rPr>
          <w:rFonts w:ascii="Arial" w:hAnsi="Arial" w:cs="Arial"/>
          <w:szCs w:val="20"/>
        </w:rPr>
        <w:t>Wszystkie urządzenia, wchodzące w skład przedmiotu umowy będą fabrycznie nowe, będą pochodzić z najnowszej linii produkcyjnej, nieużywane, nieeksponowane na wystawach lub imprezach targowych, sprawne technicznie, bezpieczne, kompletne, wolne od wad, będą spełniały wymogi określone obowiązującym prawem polskim, oraz prawem Unii Europejskiej, będą dopuszczone do obrotu handlowego, a także będą odpowiadały wymaganiom polskich norm, jeżeli takowe obowiązują.</w:t>
      </w:r>
    </w:p>
    <w:p w14:paraId="542D0A22" w14:textId="77777777" w:rsidR="003379A5" w:rsidRPr="00970723" w:rsidRDefault="003379A5" w:rsidP="003379A5">
      <w:pPr>
        <w:pStyle w:val="Bezodstpw"/>
        <w:numPr>
          <w:ilvl w:val="0"/>
          <w:numId w:val="5"/>
        </w:numPr>
        <w:spacing w:before="60"/>
        <w:ind w:left="567" w:hanging="567"/>
        <w:rPr>
          <w:rFonts w:ascii="Arial" w:hAnsi="Arial" w:cs="Arial"/>
          <w:szCs w:val="20"/>
        </w:rPr>
      </w:pPr>
      <w:r w:rsidRPr="00970723">
        <w:rPr>
          <w:rFonts w:ascii="Arial" w:hAnsi="Arial" w:cs="Arial"/>
          <w:szCs w:val="20"/>
        </w:rPr>
        <w:t>Sprzęt musi być dostarczony ze wszystkimi niezbędnymi do działania i zapewnienia wymaganych funkcjonalności bezterminowymi licencjami na używanie tych funkcjonalności.</w:t>
      </w:r>
    </w:p>
    <w:p w14:paraId="5EEAAA98" w14:textId="77777777" w:rsidR="003379A5" w:rsidRPr="00970723" w:rsidRDefault="003379A5" w:rsidP="003379A5">
      <w:pPr>
        <w:pStyle w:val="Bezodstpw"/>
        <w:numPr>
          <w:ilvl w:val="0"/>
          <w:numId w:val="5"/>
        </w:numPr>
        <w:spacing w:before="60"/>
        <w:ind w:left="567" w:hanging="567"/>
        <w:rPr>
          <w:rFonts w:ascii="Arial" w:hAnsi="Arial" w:cs="Arial"/>
          <w:szCs w:val="20"/>
        </w:rPr>
      </w:pPr>
      <w:r w:rsidRPr="00970723">
        <w:rPr>
          <w:rFonts w:ascii="Arial" w:eastAsia="Arial Unicode MS" w:hAnsi="Arial" w:cs="Arial"/>
          <w:szCs w:val="20"/>
        </w:rPr>
        <w:t xml:space="preserve">Zamówienie obejmuje: </w:t>
      </w:r>
    </w:p>
    <w:p w14:paraId="6B9F66CD" w14:textId="103C8DEF" w:rsidR="003379A5" w:rsidRPr="00970723" w:rsidRDefault="003379A5" w:rsidP="003379A5">
      <w:pPr>
        <w:pStyle w:val="Bezodstpw"/>
        <w:numPr>
          <w:ilvl w:val="0"/>
          <w:numId w:val="6"/>
        </w:numPr>
        <w:spacing w:after="0"/>
        <w:ind w:left="1134" w:hanging="567"/>
        <w:rPr>
          <w:rFonts w:ascii="Arial" w:eastAsia="Arial Unicode MS" w:hAnsi="Arial" w:cs="Arial"/>
          <w:szCs w:val="20"/>
        </w:rPr>
      </w:pPr>
      <w:r w:rsidRPr="00970723">
        <w:rPr>
          <w:rFonts w:ascii="Arial" w:eastAsia="Arial Unicode MS" w:hAnsi="Arial" w:cs="Arial"/>
          <w:szCs w:val="20"/>
        </w:rPr>
        <w:t xml:space="preserve">dostawę sprzętu </w:t>
      </w:r>
      <w:r w:rsidR="00EA0628">
        <w:rPr>
          <w:rFonts w:ascii="Arial" w:eastAsia="Arial Unicode MS" w:hAnsi="Arial" w:cs="Arial"/>
          <w:szCs w:val="20"/>
        </w:rPr>
        <w:t xml:space="preserve">na adres ZSP Nr 2 ul. </w:t>
      </w:r>
      <w:proofErr w:type="spellStart"/>
      <w:r w:rsidR="00EA0628">
        <w:rPr>
          <w:rFonts w:ascii="Arial" w:eastAsia="Arial Unicode MS" w:hAnsi="Arial" w:cs="Arial"/>
          <w:szCs w:val="20"/>
        </w:rPr>
        <w:t>Szczebrzeska</w:t>
      </w:r>
      <w:proofErr w:type="spellEnd"/>
      <w:r w:rsidR="00EA0628">
        <w:rPr>
          <w:rFonts w:ascii="Arial" w:eastAsia="Arial Unicode MS" w:hAnsi="Arial" w:cs="Arial"/>
          <w:szCs w:val="20"/>
        </w:rPr>
        <w:t xml:space="preserve"> 41 22-400 Zamość</w:t>
      </w:r>
      <w:r w:rsidRPr="00970723">
        <w:rPr>
          <w:rFonts w:ascii="Arial" w:eastAsia="Arial Unicode MS" w:hAnsi="Arial" w:cs="Arial"/>
          <w:szCs w:val="20"/>
        </w:rPr>
        <w:t xml:space="preserve"> wraz z wniesieniem na miejsce docelowe</w:t>
      </w:r>
      <w:r w:rsidR="005D065A">
        <w:rPr>
          <w:rFonts w:ascii="Arial" w:eastAsia="Arial Unicode MS" w:hAnsi="Arial" w:cs="Arial"/>
          <w:szCs w:val="20"/>
        </w:rPr>
        <w:t xml:space="preserve"> oraz montażem</w:t>
      </w:r>
      <w:bookmarkStart w:id="0" w:name="_GoBack"/>
      <w:bookmarkEnd w:id="0"/>
      <w:r w:rsidRPr="00970723">
        <w:rPr>
          <w:rFonts w:ascii="Arial" w:eastAsia="Arial Unicode MS" w:hAnsi="Arial" w:cs="Arial"/>
          <w:szCs w:val="20"/>
        </w:rPr>
        <w:t>,</w:t>
      </w:r>
    </w:p>
    <w:p w14:paraId="5D37C1A7" w14:textId="77777777" w:rsidR="003379A5" w:rsidRPr="00970723" w:rsidRDefault="003379A5" w:rsidP="003379A5">
      <w:pPr>
        <w:pStyle w:val="Bezodstpw"/>
        <w:numPr>
          <w:ilvl w:val="0"/>
          <w:numId w:val="6"/>
        </w:numPr>
        <w:spacing w:after="0"/>
        <w:ind w:left="1134" w:hanging="567"/>
        <w:rPr>
          <w:rFonts w:ascii="Arial" w:eastAsia="Arial Unicode MS" w:hAnsi="Arial" w:cs="Arial"/>
          <w:szCs w:val="20"/>
        </w:rPr>
      </w:pPr>
      <w:r w:rsidRPr="00970723">
        <w:rPr>
          <w:rFonts w:ascii="Arial" w:eastAsia="Arial Unicode MS" w:hAnsi="Arial" w:cs="Arial"/>
          <w:szCs w:val="20"/>
        </w:rPr>
        <w:t>udzielenie gwarancji</w:t>
      </w:r>
      <w:r w:rsidRPr="00970723">
        <w:rPr>
          <w:rFonts w:ascii="Arial" w:eastAsia="Arial Unicode MS" w:hAnsi="Arial" w:cs="Arial"/>
          <w:color w:val="FF0000"/>
          <w:szCs w:val="20"/>
        </w:rPr>
        <w:t xml:space="preserve"> </w:t>
      </w:r>
      <w:r w:rsidRPr="00970723">
        <w:rPr>
          <w:rFonts w:ascii="Arial" w:eastAsia="Arial Unicode MS" w:hAnsi="Arial" w:cs="Arial"/>
          <w:szCs w:val="20"/>
        </w:rPr>
        <w:t>i zapewnienie serwisu gwarancyjnego na dostarczony sprzęt,</w:t>
      </w:r>
    </w:p>
    <w:p w14:paraId="73F28D07" w14:textId="45B75671" w:rsidR="003379A5" w:rsidRDefault="003379A5" w:rsidP="003379A5">
      <w:pPr>
        <w:pStyle w:val="Bezodstpw"/>
        <w:numPr>
          <w:ilvl w:val="0"/>
          <w:numId w:val="6"/>
        </w:numPr>
        <w:spacing w:after="0"/>
        <w:ind w:left="1134" w:hanging="567"/>
        <w:rPr>
          <w:rFonts w:ascii="Arial" w:eastAsia="Arial Unicode MS" w:hAnsi="Arial" w:cs="Arial"/>
          <w:szCs w:val="20"/>
        </w:rPr>
      </w:pPr>
      <w:r w:rsidRPr="00970723">
        <w:rPr>
          <w:rFonts w:ascii="Arial" w:eastAsia="Arial Unicode MS" w:hAnsi="Arial" w:cs="Arial"/>
          <w:szCs w:val="20"/>
        </w:rPr>
        <w:t>przekazanie dokumentacji dostarczanego sprzętu.</w:t>
      </w:r>
    </w:p>
    <w:p w14:paraId="3B194765" w14:textId="77777777" w:rsidR="003379A5" w:rsidRPr="00970723" w:rsidRDefault="003379A5" w:rsidP="003379A5">
      <w:pPr>
        <w:pStyle w:val="Bezodstpw"/>
        <w:numPr>
          <w:ilvl w:val="0"/>
          <w:numId w:val="5"/>
        </w:numPr>
        <w:spacing w:before="60"/>
        <w:ind w:left="567" w:hanging="567"/>
        <w:rPr>
          <w:rFonts w:ascii="Arial" w:hAnsi="Arial" w:cs="Arial"/>
          <w:szCs w:val="20"/>
        </w:rPr>
      </w:pPr>
      <w:r w:rsidRPr="00970723">
        <w:rPr>
          <w:rFonts w:ascii="Arial" w:hAnsi="Arial" w:cs="Arial"/>
          <w:szCs w:val="20"/>
        </w:rPr>
        <w:t>Przedmiot umowy dostarczony zostanie w opakowaniu pozwalającym na jednoznaczną identyfikację urządzeń.</w:t>
      </w:r>
    </w:p>
    <w:p w14:paraId="303C57FC" w14:textId="13176EEB" w:rsidR="00A1098C" w:rsidRPr="00A1098C" w:rsidRDefault="003379A5" w:rsidP="003379A5">
      <w:pPr>
        <w:pStyle w:val="Bezodstpw"/>
        <w:numPr>
          <w:ilvl w:val="0"/>
          <w:numId w:val="5"/>
        </w:numPr>
        <w:spacing w:before="60"/>
        <w:ind w:left="567" w:hanging="567"/>
        <w:rPr>
          <w:rFonts w:ascii="Arial" w:hAnsi="Arial" w:cs="Arial"/>
        </w:rPr>
      </w:pPr>
      <w:r w:rsidRPr="00970723">
        <w:rPr>
          <w:rFonts w:ascii="Arial" w:hAnsi="Arial" w:cs="Arial"/>
          <w:szCs w:val="20"/>
        </w:rPr>
        <w:lastRenderedPageBreak/>
        <w:t xml:space="preserve">Zakres gwarancji oraz procedura w przypadku wystąpienia wad określają zapisy umowy – załącznik nr </w:t>
      </w:r>
      <w:r w:rsidR="00561ECB">
        <w:rPr>
          <w:rFonts w:ascii="Arial" w:hAnsi="Arial" w:cs="Arial"/>
          <w:szCs w:val="20"/>
        </w:rPr>
        <w:t>4</w:t>
      </w:r>
      <w:r w:rsidRPr="00970723">
        <w:rPr>
          <w:rFonts w:ascii="Arial" w:hAnsi="Arial" w:cs="Arial"/>
          <w:szCs w:val="20"/>
        </w:rPr>
        <w:t xml:space="preserve"> do </w:t>
      </w:r>
      <w:r w:rsidR="00561ECB">
        <w:rPr>
          <w:rFonts w:ascii="Arial" w:hAnsi="Arial" w:cs="Arial"/>
          <w:szCs w:val="20"/>
        </w:rPr>
        <w:t>ogłoszenia</w:t>
      </w:r>
      <w:r w:rsidRPr="00970723">
        <w:rPr>
          <w:rFonts w:ascii="Arial" w:hAnsi="Arial" w:cs="Arial"/>
          <w:szCs w:val="20"/>
        </w:rPr>
        <w:t xml:space="preserve"> oraz wzoru karty gwarancyjnej – załącznik nr 1 do umowy.</w:t>
      </w:r>
      <w:r w:rsidR="00506187" w:rsidRPr="00506187">
        <w:rPr>
          <w:rFonts w:ascii="Arial" w:hAnsi="Arial" w:cs="Arial"/>
        </w:rPr>
        <w:t xml:space="preserve"> </w:t>
      </w:r>
    </w:p>
    <w:p w14:paraId="6A657DC9" w14:textId="56D4E8E1" w:rsidR="003379A5" w:rsidRPr="003379A5" w:rsidRDefault="003379A5" w:rsidP="00561ECB">
      <w:pPr>
        <w:pStyle w:val="Akapitzlist"/>
        <w:spacing w:before="120" w:after="120" w:line="240" w:lineRule="auto"/>
        <w:jc w:val="both"/>
        <w:rPr>
          <w:rFonts w:ascii="Arial" w:eastAsia="Arial Unicode MS" w:hAnsi="Arial" w:cs="Arial"/>
          <w:sz w:val="20"/>
          <w:szCs w:val="20"/>
        </w:rPr>
      </w:pPr>
      <w:r w:rsidRPr="003379A5">
        <w:rPr>
          <w:rFonts w:ascii="Arial" w:eastAsia="Arial Unicode MS" w:hAnsi="Arial" w:cs="Arial"/>
          <w:b/>
          <w:sz w:val="20"/>
          <w:szCs w:val="20"/>
        </w:rPr>
        <w:t>Ogólne zasady równoważności rozwiązań przedmiotu zamówienia.</w:t>
      </w:r>
    </w:p>
    <w:p w14:paraId="52977B09" w14:textId="77777777" w:rsidR="003379A5" w:rsidRPr="00970723" w:rsidRDefault="003379A5" w:rsidP="003379A5">
      <w:pPr>
        <w:spacing w:after="60" w:line="240" w:lineRule="auto"/>
        <w:jc w:val="both"/>
        <w:rPr>
          <w:rFonts w:ascii="Arial" w:eastAsia="Arial Unicode MS" w:hAnsi="Arial" w:cs="Arial"/>
          <w:sz w:val="20"/>
          <w:szCs w:val="20"/>
        </w:rPr>
      </w:pPr>
      <w:r w:rsidRPr="00970723">
        <w:rPr>
          <w:rFonts w:ascii="Arial" w:eastAsia="Arial Unicode MS" w:hAnsi="Arial" w:cs="Arial"/>
          <w:sz w:val="20"/>
          <w:szCs w:val="20"/>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t>
      </w:r>
    </w:p>
    <w:p w14:paraId="1857DB25" w14:textId="77777777" w:rsidR="003379A5" w:rsidRPr="00970723" w:rsidRDefault="003379A5" w:rsidP="003379A5">
      <w:pPr>
        <w:spacing w:after="60" w:line="240" w:lineRule="auto"/>
        <w:jc w:val="both"/>
        <w:rPr>
          <w:rFonts w:ascii="Arial" w:eastAsia="Arial Unicode MS" w:hAnsi="Arial" w:cs="Arial"/>
          <w:sz w:val="20"/>
          <w:szCs w:val="20"/>
        </w:rPr>
      </w:pPr>
      <w:r w:rsidRPr="00970723">
        <w:rPr>
          <w:rFonts w:ascii="Arial" w:eastAsia="Arial Unicode MS" w:hAnsi="Arial" w:cs="Arial"/>
          <w:sz w:val="20"/>
          <w:szCs w:val="20"/>
        </w:rPr>
        <w:t>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systemu, zachowanie oraz realizowanie podobnych funkcjonalności w danych warunkach, dla których to warunków rozwiązania te są dedykowane.</w:t>
      </w:r>
    </w:p>
    <w:p w14:paraId="7D7EC9DE" w14:textId="77777777" w:rsidR="003379A5" w:rsidRPr="00970723" w:rsidRDefault="003379A5" w:rsidP="003379A5">
      <w:pPr>
        <w:spacing w:after="60" w:line="240" w:lineRule="auto"/>
        <w:jc w:val="both"/>
        <w:rPr>
          <w:rFonts w:ascii="Arial" w:eastAsia="Arial Unicode MS" w:hAnsi="Arial" w:cs="Arial"/>
          <w:sz w:val="20"/>
          <w:szCs w:val="20"/>
        </w:rPr>
      </w:pPr>
      <w:r w:rsidRPr="00970723">
        <w:rPr>
          <w:rFonts w:ascii="Arial" w:eastAsia="Arial Unicode MS" w:hAnsi="Arial" w:cs="Arial"/>
          <w:sz w:val="20"/>
          <w:szCs w:val="20"/>
        </w:rPr>
        <w:t xml:space="preserve">Rozwiązanie równoważne musi zawierać dokumentację potwierdzającą, że spełnia wymagania funkcjonalne Zamawiającego, w tym wyniki porównań, testów, czy możliwości oferowanych przez to rozwiązanie w odniesieniu do rozwiązania wyspecyfikowanego. </w:t>
      </w:r>
    </w:p>
    <w:p w14:paraId="04134908" w14:textId="77777777" w:rsidR="003379A5" w:rsidRPr="00970723" w:rsidRDefault="003379A5" w:rsidP="003379A5">
      <w:pPr>
        <w:spacing w:after="60" w:line="240" w:lineRule="auto"/>
        <w:jc w:val="both"/>
        <w:rPr>
          <w:rFonts w:ascii="Arial" w:eastAsia="Arial Unicode MS" w:hAnsi="Arial" w:cs="Arial"/>
          <w:sz w:val="20"/>
          <w:szCs w:val="20"/>
        </w:rPr>
      </w:pPr>
      <w:r w:rsidRPr="00970723">
        <w:rPr>
          <w:rFonts w:ascii="Arial" w:eastAsia="Arial Unicode MS" w:hAnsi="Arial" w:cs="Arial"/>
          <w:sz w:val="20"/>
          <w:szCs w:val="20"/>
        </w:rPr>
        <w:t>Dostarczenie przez Wykonawcę rozwiązania równoważnego musi być zrealizowane w taki sposób, aby wymiana oprogramowania na równoważne nie zakłóciła bieżącej pracy szkoły. W tym celu Wykonawca musi do oprogramowania równoważnego przenieść wszystkie dane niezbędne do prawidłowego działania oprogramowania, przeszkolić użytkowników, skonfigurować oprogramowanie, uwzględnić niezbędną asystę pracowników Wykonawcy w operacji uruchamiania oprogramowania w środowisku produkcyjnym itp.</w:t>
      </w:r>
    </w:p>
    <w:p w14:paraId="72E56349" w14:textId="77777777" w:rsidR="003379A5" w:rsidRPr="00970723" w:rsidRDefault="003379A5" w:rsidP="003379A5">
      <w:pPr>
        <w:spacing w:after="60" w:line="240" w:lineRule="auto"/>
        <w:jc w:val="both"/>
        <w:rPr>
          <w:rFonts w:ascii="Arial" w:eastAsia="Arial Unicode MS" w:hAnsi="Arial" w:cs="Arial"/>
          <w:sz w:val="20"/>
          <w:szCs w:val="20"/>
        </w:rPr>
      </w:pPr>
      <w:r w:rsidRPr="00970723">
        <w:rPr>
          <w:rFonts w:ascii="Arial" w:eastAsia="Arial Unicode MS" w:hAnsi="Arial" w:cs="Arial"/>
          <w:sz w:val="20"/>
          <w:szCs w:val="20"/>
        </w:rPr>
        <w:t>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2588F826" w14:textId="22F6A004" w:rsidR="00506187" w:rsidRPr="00506187" w:rsidRDefault="00506187" w:rsidP="00506187">
      <w:pPr>
        <w:spacing w:after="60" w:line="240" w:lineRule="auto"/>
        <w:jc w:val="both"/>
        <w:rPr>
          <w:rFonts w:ascii="Arial" w:eastAsia="Arial Unicode MS" w:hAnsi="Arial" w:cs="Arial"/>
          <w:sz w:val="20"/>
        </w:rPr>
      </w:pPr>
    </w:p>
    <w:p w14:paraId="6B0573F1" w14:textId="77777777" w:rsidR="00506187" w:rsidRPr="00506187" w:rsidRDefault="00506187">
      <w:pPr>
        <w:rPr>
          <w:rFonts w:ascii="Arial" w:hAnsi="Arial" w:cs="Arial"/>
          <w:sz w:val="20"/>
          <w:szCs w:val="20"/>
        </w:rPr>
      </w:pPr>
    </w:p>
    <w:sectPr w:rsidR="00506187" w:rsidRPr="00506187" w:rsidSect="00B3731E">
      <w:headerReference w:type="default" r:id="rId8"/>
      <w:footerReference w:type="default" r:id="rId9"/>
      <w:headerReference w:type="first" r:id="rId10"/>
      <w:pgSz w:w="16838" w:h="11906" w:orient="landscape"/>
      <w:pgMar w:top="437" w:right="1417" w:bottom="28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0084B" w14:textId="77777777" w:rsidR="00963E3F" w:rsidRDefault="00963E3F" w:rsidP="005239A4">
      <w:pPr>
        <w:spacing w:after="0" w:line="240" w:lineRule="auto"/>
      </w:pPr>
      <w:r>
        <w:separator/>
      </w:r>
    </w:p>
  </w:endnote>
  <w:endnote w:type="continuationSeparator" w:id="0">
    <w:p w14:paraId="28A2A3E7" w14:textId="77777777" w:rsidR="00963E3F" w:rsidRDefault="00963E3F" w:rsidP="00523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0F23B" w14:textId="69C9E9D3" w:rsidR="005B6D54" w:rsidRDefault="00DE131C">
    <w:pPr>
      <w:pStyle w:val="Stopka"/>
      <w:jc w:val="right"/>
    </w:pPr>
    <w:r>
      <w:rPr>
        <w:noProof/>
      </w:rPr>
      <w:fldChar w:fldCharType="begin"/>
    </w:r>
    <w:r>
      <w:rPr>
        <w:noProof/>
      </w:rPr>
      <w:instrText>PAGE   \* MERGEFORMAT</w:instrText>
    </w:r>
    <w:r>
      <w:rPr>
        <w:noProof/>
      </w:rPr>
      <w:fldChar w:fldCharType="separate"/>
    </w:r>
    <w:r w:rsidR="005D065A">
      <w:rPr>
        <w:noProof/>
      </w:rPr>
      <w:t>2</w:t>
    </w:r>
    <w:r>
      <w:rPr>
        <w:noProof/>
      </w:rPr>
      <w:fldChar w:fldCharType="end"/>
    </w:r>
  </w:p>
  <w:p w14:paraId="71507F03" w14:textId="2727C9F3" w:rsidR="00B3731E" w:rsidRPr="00960BF5" w:rsidRDefault="00B3731E" w:rsidP="00B3731E">
    <w:pPr>
      <w:pStyle w:val="Stopka"/>
      <w:jc w:val="center"/>
      <w:rPr>
        <w:sz w:val="20"/>
        <w:szCs w:val="20"/>
      </w:rPr>
    </w:pPr>
    <w:r w:rsidRPr="00CD6E71">
      <w:rPr>
        <w:sz w:val="20"/>
        <w:szCs w:val="20"/>
      </w:rPr>
      <w:t xml:space="preserve">Projekt pt. </w:t>
    </w:r>
    <w:r>
      <w:rPr>
        <w:sz w:val="20"/>
        <w:szCs w:val="20"/>
      </w:rPr>
      <w:t>„Rozwój kształcenia zawodowego szkół Miasta Zamość II”</w:t>
    </w:r>
    <w:r w:rsidRPr="00CD6E71">
      <w:rPr>
        <w:sz w:val="20"/>
        <w:szCs w:val="20"/>
      </w:rPr>
      <w:t xml:space="preserve"> wspófinansowany z</w:t>
    </w:r>
    <w:r>
      <w:rPr>
        <w:sz w:val="20"/>
        <w:szCs w:val="20"/>
      </w:rPr>
      <w:t>e środków</w:t>
    </w:r>
    <w:r w:rsidRPr="00CD6E71">
      <w:rPr>
        <w:sz w:val="20"/>
        <w:szCs w:val="20"/>
      </w:rPr>
      <w:t xml:space="preserve"> </w:t>
    </w:r>
    <w:r>
      <w:rPr>
        <w:sz w:val="20"/>
        <w:szCs w:val="20"/>
      </w:rPr>
      <w:br/>
    </w:r>
    <w:r w:rsidRPr="00CD6E71">
      <w:rPr>
        <w:sz w:val="20"/>
        <w:szCs w:val="20"/>
      </w:rPr>
      <w:t>Europejskiego Funduszu Społecznego</w:t>
    </w:r>
    <w:r>
      <w:rPr>
        <w:sz w:val="20"/>
        <w:szCs w:val="20"/>
      </w:rPr>
      <w:t xml:space="preserve"> +</w:t>
    </w:r>
    <w:r w:rsidRPr="00CD6E71">
      <w:rPr>
        <w:sz w:val="20"/>
        <w:szCs w:val="20"/>
      </w:rPr>
      <w:t xml:space="preserve"> w ramach </w:t>
    </w:r>
    <w:r w:rsidRPr="00222707">
      <w:rPr>
        <w:sz w:val="20"/>
        <w:szCs w:val="20"/>
      </w:rPr>
      <w:t xml:space="preserve">Programu </w:t>
    </w:r>
    <w:r w:rsidRPr="00222707">
      <w:rPr>
        <w:bCs/>
        <w:sz w:val="20"/>
        <w:szCs w:val="20"/>
        <w:shd w:val="clear" w:color="auto" w:fill="FFFFFF"/>
      </w:rPr>
      <w:t>Fundusze Europejskie dla Lubelskiego 2021-2027</w:t>
    </w:r>
  </w:p>
  <w:p w14:paraId="69499C78" w14:textId="77777777" w:rsidR="005B6D54" w:rsidRDefault="005B6D54">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5BDE1F" w14:textId="77777777" w:rsidR="00963E3F" w:rsidRDefault="00963E3F" w:rsidP="005239A4">
      <w:pPr>
        <w:spacing w:after="0" w:line="240" w:lineRule="auto"/>
      </w:pPr>
      <w:r>
        <w:separator/>
      </w:r>
    </w:p>
  </w:footnote>
  <w:footnote w:type="continuationSeparator" w:id="0">
    <w:p w14:paraId="05D1E4B4" w14:textId="77777777" w:rsidR="00963E3F" w:rsidRDefault="00963E3F" w:rsidP="005239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5FFB0" w14:textId="67E33E9A" w:rsidR="00B3731E" w:rsidRDefault="00B3731E" w:rsidP="00B3731E">
    <w:pPr>
      <w:pStyle w:val="Nagwek"/>
      <w:jc w:val="center"/>
    </w:pPr>
  </w:p>
  <w:p w14:paraId="045949FE" w14:textId="332706D8" w:rsidR="005B6D54" w:rsidRDefault="005B6D54" w:rsidP="008D1942">
    <w:pPr>
      <w:pStyle w:val="Nagwek"/>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A36AC" w14:textId="69E47AA6" w:rsidR="00B3731E" w:rsidRDefault="00B3731E" w:rsidP="00B3731E">
    <w:pPr>
      <w:pStyle w:val="Nagwek"/>
      <w:jc w:val="center"/>
    </w:pPr>
    <w:r w:rsidRPr="003B0CCF">
      <w:rPr>
        <w:noProof/>
      </w:rPr>
      <w:drawing>
        <wp:inline distT="0" distB="0" distL="0" distR="0" wp14:anchorId="7D421714" wp14:editId="6B7C663B">
          <wp:extent cx="5763895" cy="613410"/>
          <wp:effectExtent l="0" t="0" r="8255" b="0"/>
          <wp:docPr id="1274921230" name="Obraz 1" descr="C:\Users\Piotr Toczek\AppData\Local\Packages\Microsoft.Windows.Photos_8wekyb3d8bbwe\TempState\ShareServiceTempFolder\FEL_logotyp_kolor_poziom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Piotr Toczek\AppData\Local\Packages\Microsoft.Windows.Photos_8wekyb3d8bbwe\TempState\ShareServiceTempFolder\FEL_logotyp_kolor_poziom 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6134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05A1D"/>
    <w:multiLevelType w:val="hybridMultilevel"/>
    <w:tmpl w:val="049056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EF753B"/>
    <w:multiLevelType w:val="hybridMultilevel"/>
    <w:tmpl w:val="493CD37E"/>
    <w:lvl w:ilvl="0" w:tplc="0A88561C">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369359CC"/>
    <w:multiLevelType w:val="hybridMultilevel"/>
    <w:tmpl w:val="29B431E6"/>
    <w:lvl w:ilvl="0" w:tplc="04150011">
      <w:start w:val="1"/>
      <w:numFmt w:val="decimal"/>
      <w:lvlText w:val="%1)"/>
      <w:lvlJc w:val="left"/>
      <w:pPr>
        <w:ind w:left="360" w:hanging="360"/>
      </w:pPr>
      <w:rPr>
        <w:sz w:val="20"/>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55A02D0C"/>
    <w:multiLevelType w:val="hybridMultilevel"/>
    <w:tmpl w:val="5A723B6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61500B67"/>
    <w:multiLevelType w:val="hybridMultilevel"/>
    <w:tmpl w:val="24D461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 w15:restartNumberingAfterBreak="0">
    <w:nsid w:val="6B4E6C2A"/>
    <w:multiLevelType w:val="hybridMultilevel"/>
    <w:tmpl w:val="47480E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64A3506"/>
    <w:multiLevelType w:val="multilevel"/>
    <w:tmpl w:val="D786E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2C4"/>
    <w:rsid w:val="00000B12"/>
    <w:rsid w:val="00005787"/>
    <w:rsid w:val="0005377C"/>
    <w:rsid w:val="000569D6"/>
    <w:rsid w:val="0006389E"/>
    <w:rsid w:val="00067FCC"/>
    <w:rsid w:val="00075B05"/>
    <w:rsid w:val="00095855"/>
    <w:rsid w:val="000B31F2"/>
    <w:rsid w:val="000C3104"/>
    <w:rsid w:val="000E2D3B"/>
    <w:rsid w:val="000E5A37"/>
    <w:rsid w:val="00100C2B"/>
    <w:rsid w:val="001071C0"/>
    <w:rsid w:val="00107F0F"/>
    <w:rsid w:val="001204C9"/>
    <w:rsid w:val="00154221"/>
    <w:rsid w:val="001765CE"/>
    <w:rsid w:val="00176D4E"/>
    <w:rsid w:val="00181BC0"/>
    <w:rsid w:val="00197F20"/>
    <w:rsid w:val="001A418B"/>
    <w:rsid w:val="001B2D55"/>
    <w:rsid w:val="001B7187"/>
    <w:rsid w:val="001C5D52"/>
    <w:rsid w:val="001D1279"/>
    <w:rsid w:val="001E0D63"/>
    <w:rsid w:val="002059CE"/>
    <w:rsid w:val="00223B38"/>
    <w:rsid w:val="00266EC0"/>
    <w:rsid w:val="002B0139"/>
    <w:rsid w:val="002B09E5"/>
    <w:rsid w:val="002B307E"/>
    <w:rsid w:val="002D3B26"/>
    <w:rsid w:val="002F0570"/>
    <w:rsid w:val="003110AC"/>
    <w:rsid w:val="003178B4"/>
    <w:rsid w:val="00326A9E"/>
    <w:rsid w:val="003369FF"/>
    <w:rsid w:val="003379A5"/>
    <w:rsid w:val="003514D2"/>
    <w:rsid w:val="0038205D"/>
    <w:rsid w:val="003831E6"/>
    <w:rsid w:val="00396FF0"/>
    <w:rsid w:val="003A5194"/>
    <w:rsid w:val="003B1A33"/>
    <w:rsid w:val="003B656B"/>
    <w:rsid w:val="003E4523"/>
    <w:rsid w:val="00414FA6"/>
    <w:rsid w:val="00417044"/>
    <w:rsid w:val="004724DF"/>
    <w:rsid w:val="00486B4E"/>
    <w:rsid w:val="00492C98"/>
    <w:rsid w:val="0049602F"/>
    <w:rsid w:val="004F6328"/>
    <w:rsid w:val="00504F8E"/>
    <w:rsid w:val="00506187"/>
    <w:rsid w:val="005239A4"/>
    <w:rsid w:val="00551446"/>
    <w:rsid w:val="0055650B"/>
    <w:rsid w:val="00561ECB"/>
    <w:rsid w:val="005B137A"/>
    <w:rsid w:val="005B6D54"/>
    <w:rsid w:val="005C30EB"/>
    <w:rsid w:val="005D065A"/>
    <w:rsid w:val="005F39AC"/>
    <w:rsid w:val="00605DAE"/>
    <w:rsid w:val="00620622"/>
    <w:rsid w:val="006619A1"/>
    <w:rsid w:val="00670BC4"/>
    <w:rsid w:val="0069353B"/>
    <w:rsid w:val="006D1B05"/>
    <w:rsid w:val="006E6B7C"/>
    <w:rsid w:val="007043C0"/>
    <w:rsid w:val="00731F79"/>
    <w:rsid w:val="00734C87"/>
    <w:rsid w:val="0074663F"/>
    <w:rsid w:val="00755492"/>
    <w:rsid w:val="00763F90"/>
    <w:rsid w:val="0076761A"/>
    <w:rsid w:val="00782057"/>
    <w:rsid w:val="00785C40"/>
    <w:rsid w:val="007B6E3D"/>
    <w:rsid w:val="007F30EF"/>
    <w:rsid w:val="00817772"/>
    <w:rsid w:val="00820E2B"/>
    <w:rsid w:val="00831CEB"/>
    <w:rsid w:val="008478E9"/>
    <w:rsid w:val="008519E5"/>
    <w:rsid w:val="00854B66"/>
    <w:rsid w:val="00862FD4"/>
    <w:rsid w:val="00894C3C"/>
    <w:rsid w:val="008B0B9C"/>
    <w:rsid w:val="008D1942"/>
    <w:rsid w:val="008D4A79"/>
    <w:rsid w:val="008D7CEF"/>
    <w:rsid w:val="00927C9C"/>
    <w:rsid w:val="00927D27"/>
    <w:rsid w:val="00960260"/>
    <w:rsid w:val="00963E3F"/>
    <w:rsid w:val="00991339"/>
    <w:rsid w:val="009978BC"/>
    <w:rsid w:val="009B2175"/>
    <w:rsid w:val="009B2C3E"/>
    <w:rsid w:val="009B40C8"/>
    <w:rsid w:val="009B6186"/>
    <w:rsid w:val="009C5D7C"/>
    <w:rsid w:val="009F4C7E"/>
    <w:rsid w:val="00A1098C"/>
    <w:rsid w:val="00A312DF"/>
    <w:rsid w:val="00A4333D"/>
    <w:rsid w:val="00A52FFB"/>
    <w:rsid w:val="00A641D7"/>
    <w:rsid w:val="00A94656"/>
    <w:rsid w:val="00A95BFF"/>
    <w:rsid w:val="00AB41E8"/>
    <w:rsid w:val="00AB5D26"/>
    <w:rsid w:val="00AC0452"/>
    <w:rsid w:val="00AD2669"/>
    <w:rsid w:val="00AD7CD3"/>
    <w:rsid w:val="00AF5BA2"/>
    <w:rsid w:val="00B22E88"/>
    <w:rsid w:val="00B26501"/>
    <w:rsid w:val="00B3731E"/>
    <w:rsid w:val="00B37C08"/>
    <w:rsid w:val="00B44941"/>
    <w:rsid w:val="00B47C7C"/>
    <w:rsid w:val="00B60C33"/>
    <w:rsid w:val="00B6721F"/>
    <w:rsid w:val="00B722C4"/>
    <w:rsid w:val="00B808D9"/>
    <w:rsid w:val="00B84854"/>
    <w:rsid w:val="00BC40DF"/>
    <w:rsid w:val="00BD7146"/>
    <w:rsid w:val="00BF1371"/>
    <w:rsid w:val="00C132FC"/>
    <w:rsid w:val="00C469E8"/>
    <w:rsid w:val="00C60E03"/>
    <w:rsid w:val="00C633B7"/>
    <w:rsid w:val="00C645AA"/>
    <w:rsid w:val="00C700E3"/>
    <w:rsid w:val="00C740A3"/>
    <w:rsid w:val="00C872C1"/>
    <w:rsid w:val="00C9118C"/>
    <w:rsid w:val="00C9660B"/>
    <w:rsid w:val="00CD7605"/>
    <w:rsid w:val="00CF3191"/>
    <w:rsid w:val="00CF6D54"/>
    <w:rsid w:val="00D3024D"/>
    <w:rsid w:val="00D40AA6"/>
    <w:rsid w:val="00D56F3A"/>
    <w:rsid w:val="00D60356"/>
    <w:rsid w:val="00D7712E"/>
    <w:rsid w:val="00D90347"/>
    <w:rsid w:val="00DD5678"/>
    <w:rsid w:val="00DD6D87"/>
    <w:rsid w:val="00DE131C"/>
    <w:rsid w:val="00E21970"/>
    <w:rsid w:val="00E22912"/>
    <w:rsid w:val="00E23C60"/>
    <w:rsid w:val="00E3049E"/>
    <w:rsid w:val="00E328D9"/>
    <w:rsid w:val="00E360FF"/>
    <w:rsid w:val="00E50A14"/>
    <w:rsid w:val="00E54EE3"/>
    <w:rsid w:val="00E5748E"/>
    <w:rsid w:val="00E57B9B"/>
    <w:rsid w:val="00E60A88"/>
    <w:rsid w:val="00E61031"/>
    <w:rsid w:val="00E64BB4"/>
    <w:rsid w:val="00E7784F"/>
    <w:rsid w:val="00E87EB8"/>
    <w:rsid w:val="00EA0628"/>
    <w:rsid w:val="00EA0E1A"/>
    <w:rsid w:val="00EA0FF5"/>
    <w:rsid w:val="00ED030A"/>
    <w:rsid w:val="00ED3675"/>
    <w:rsid w:val="00EE2FB9"/>
    <w:rsid w:val="00EE6F1A"/>
    <w:rsid w:val="00F5074A"/>
    <w:rsid w:val="00F71904"/>
    <w:rsid w:val="00F75B66"/>
    <w:rsid w:val="00F83684"/>
    <w:rsid w:val="00FF30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6D6148D"/>
  <w15:docId w15:val="{90C9BF1D-A2FD-4F4D-807B-4EEA34342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418B"/>
    <w:pPr>
      <w:spacing w:after="200" w:line="276" w:lineRule="auto"/>
    </w:pPr>
    <w:rPr>
      <w:rFonts w:cs="Calibr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B722C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rsid w:val="005239A4"/>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5239A4"/>
  </w:style>
  <w:style w:type="paragraph" w:styleId="Stopka">
    <w:name w:val="footer"/>
    <w:basedOn w:val="Normalny"/>
    <w:link w:val="StopkaZnak"/>
    <w:uiPriority w:val="99"/>
    <w:rsid w:val="005239A4"/>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5239A4"/>
  </w:style>
  <w:style w:type="paragraph" w:styleId="Akapitzlist">
    <w:name w:val="List Paragraph"/>
    <w:aliases w:val="Numerowanie,Akapit z listą BS,List Paragraph,CW_Lista,Wypunktowanie,L1,Normal,Akapit z listą31,Normal2,Colorful List Accent 1,Akapit z listą4,Średnia siatka 1 — akcent 21,sw tekst,Colorful List - Accent 11,Kolorowa lista — akcent 11"/>
    <w:basedOn w:val="Normalny"/>
    <w:link w:val="AkapitzlistZnak"/>
    <w:uiPriority w:val="34"/>
    <w:qFormat/>
    <w:rsid w:val="00AB41E8"/>
    <w:pPr>
      <w:ind w:left="720"/>
    </w:pPr>
  </w:style>
  <w:style w:type="paragraph" w:styleId="Tekstdymka">
    <w:name w:val="Balloon Text"/>
    <w:basedOn w:val="Normalny"/>
    <w:link w:val="TekstdymkaZnak"/>
    <w:uiPriority w:val="99"/>
    <w:semiHidden/>
    <w:unhideWhenUsed/>
    <w:rsid w:val="005B13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B137A"/>
    <w:rPr>
      <w:rFonts w:ascii="Tahoma" w:hAnsi="Tahoma" w:cs="Tahoma"/>
      <w:sz w:val="16"/>
      <w:szCs w:val="16"/>
    </w:rPr>
  </w:style>
  <w:style w:type="character" w:styleId="Pogrubienie">
    <w:name w:val="Strong"/>
    <w:basedOn w:val="Domylnaczcionkaakapitu"/>
    <w:uiPriority w:val="22"/>
    <w:qFormat/>
    <w:locked/>
    <w:rsid w:val="002F0570"/>
    <w:rPr>
      <w:b/>
      <w:bCs/>
    </w:rPr>
  </w:style>
  <w:style w:type="paragraph" w:styleId="Bezodstpw">
    <w:name w:val="No Spacing"/>
    <w:uiPriority w:val="1"/>
    <w:qFormat/>
    <w:rsid w:val="00506187"/>
    <w:pPr>
      <w:spacing w:after="60"/>
      <w:jc w:val="both"/>
    </w:pPr>
    <w:rPr>
      <w:rFonts w:ascii="Arial Unicode MS" w:eastAsiaTheme="minorHAnsi" w:hAnsi="Arial Unicode MS" w:cstheme="minorBidi"/>
      <w:szCs w:val="22"/>
      <w:lang w:eastAsia="en-US"/>
    </w:rPr>
  </w:style>
  <w:style w:type="character" w:customStyle="1" w:styleId="AkapitzlistZnak">
    <w:name w:val="Akapit z listą Znak"/>
    <w:aliases w:val="Numerowanie Znak,Akapit z listą BS Znak,List Paragraph Znak,CW_Lista Znak,Wypunktowanie Znak,L1 Znak,Normal Znak,Akapit z listą31 Znak,Normal2 Znak,Colorful List Accent 1 Znak,Akapit z listą4 Znak,Średnia siatka 1 — akcent 21 Znak"/>
    <w:link w:val="Akapitzlist"/>
    <w:uiPriority w:val="34"/>
    <w:qFormat/>
    <w:rsid w:val="0050618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19192">
      <w:bodyDiv w:val="1"/>
      <w:marLeft w:val="0"/>
      <w:marRight w:val="0"/>
      <w:marTop w:val="0"/>
      <w:marBottom w:val="0"/>
      <w:divBdr>
        <w:top w:val="none" w:sz="0" w:space="0" w:color="auto"/>
        <w:left w:val="none" w:sz="0" w:space="0" w:color="auto"/>
        <w:bottom w:val="none" w:sz="0" w:space="0" w:color="auto"/>
        <w:right w:val="none" w:sz="0" w:space="0" w:color="auto"/>
      </w:divBdr>
    </w:div>
    <w:div w:id="1202135562">
      <w:bodyDiv w:val="1"/>
      <w:marLeft w:val="0"/>
      <w:marRight w:val="0"/>
      <w:marTop w:val="0"/>
      <w:marBottom w:val="0"/>
      <w:divBdr>
        <w:top w:val="none" w:sz="0" w:space="0" w:color="auto"/>
        <w:left w:val="none" w:sz="0" w:space="0" w:color="auto"/>
        <w:bottom w:val="none" w:sz="0" w:space="0" w:color="auto"/>
        <w:right w:val="none" w:sz="0" w:space="0" w:color="auto"/>
      </w:divBdr>
    </w:div>
    <w:div w:id="1332610867">
      <w:marLeft w:val="0"/>
      <w:marRight w:val="0"/>
      <w:marTop w:val="0"/>
      <w:marBottom w:val="0"/>
      <w:divBdr>
        <w:top w:val="none" w:sz="0" w:space="0" w:color="auto"/>
        <w:left w:val="none" w:sz="0" w:space="0" w:color="auto"/>
        <w:bottom w:val="none" w:sz="0" w:space="0" w:color="auto"/>
        <w:right w:val="none" w:sz="0" w:space="0" w:color="auto"/>
      </w:divBdr>
    </w:div>
    <w:div w:id="193878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C1A65-0B1C-4D15-A976-14076BC15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593</Words>
  <Characters>4305</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Załącznik nr 1 do SIWZ</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dc:title>
  <dc:creator>kierowniczka</dc:creator>
  <cp:lastModifiedBy>kierowniczka</cp:lastModifiedBy>
  <cp:revision>2</cp:revision>
  <cp:lastPrinted>2024-12-18T11:22:00Z</cp:lastPrinted>
  <dcterms:created xsi:type="dcterms:W3CDTF">2024-12-18T12:54:00Z</dcterms:created>
  <dcterms:modified xsi:type="dcterms:W3CDTF">2024-12-18T12:54:00Z</dcterms:modified>
</cp:coreProperties>
</file>