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0" w:hanging="2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" w:right="20" w:hanging="3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Klauzula informacyjna w sprawie ochrony danych osobowych</w:t>
      </w:r>
    </w:p>
    <w:p w:rsidR="00000000" w:rsidDel="00000000" w:rsidP="00000000" w:rsidRDefault="00000000" w:rsidRPr="00000000" w14:paraId="00000003">
      <w:pPr>
        <w:ind w:left="1" w:right="20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0" w:right="20" w:hanging="2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tabs>
          <w:tab w:val="left" w:leader="none" w:pos="360"/>
        </w:tabs>
        <w:spacing w:line="276" w:lineRule="auto"/>
        <w:ind w:left="720" w:right="20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Administratorem Pani/Pana/Państwa danych osobowych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jest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Trendex Paweł Skrzypek z siedzibą przy ul. Uroczej 3, 96-100 Skierniewice</w:t>
      </w:r>
    </w:p>
    <w:p w:rsidR="00000000" w:rsidDel="00000000" w:rsidP="00000000" w:rsidRDefault="00000000" w:rsidRPr="00000000" w14:paraId="00000006">
      <w:pPr>
        <w:tabs>
          <w:tab w:val="left" w:leader="none" w:pos="360"/>
        </w:tabs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 sprawie ochrony danych osobowych można skontaktować się pod adresem e-mail:</w:t>
      </w:r>
    </w:p>
    <w:p w:rsidR="00000000" w:rsidDel="00000000" w:rsidP="00000000" w:rsidRDefault="00000000" w:rsidRPr="00000000" w14:paraId="00000007">
      <w:pPr>
        <w:tabs>
          <w:tab w:val="left" w:leader="none" w:pos="360"/>
        </w:tabs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shandir76@gmail.com lub pisemnie na adres siedziby firmy wskazany w punkcie 1 powyżej.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tabs>
          <w:tab w:val="left" w:leader="none" w:pos="360"/>
        </w:tabs>
        <w:spacing w:line="276" w:lineRule="auto"/>
        <w:ind w:left="720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Cele i podstawy przetwarzania.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Pani/Pana/Państwa dane osobowe będą przetwarzane na podstawie:</w:t>
      </w:r>
    </w:p>
    <w:p w:rsidR="00000000" w:rsidDel="00000000" w:rsidP="00000000" w:rsidRDefault="00000000" w:rsidRPr="00000000" w14:paraId="00000009">
      <w:pPr>
        <w:spacing w:line="276" w:lineRule="auto"/>
        <w:ind w:left="720" w:right="2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art. 6 ust. 1 lit. c) RODO - w celu związanym z postępowaniem o udzielenie zamówienia, prowadzonym w trybie zasady konkurencyjności - nr zapytania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TRENDEX/ZAM/11/2024/FELD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720" w:right="4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art. 6 ust. 1 lit. b) RODO – w celu podjęcia działań zmierzających do zawarcia umowy, a także w celu realizacji tej umowy</w:t>
      </w:r>
    </w:p>
    <w:p w:rsidR="00000000" w:rsidDel="00000000" w:rsidP="00000000" w:rsidRDefault="00000000" w:rsidRPr="00000000" w14:paraId="0000000B">
      <w:pPr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art. 6 ust. 1 lit. f) RODO – uzasadnione interesy Administratora, w szczególności dochodzenie roszczeń.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Okres przetwarzania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Pani/Pana/Państwa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Prawa osoby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której dane dotyczą. W przypadkach i na zasadach określonych w powszechnie obowiązujących przepisach o ochronie danych osobowych przysługują Pani/Panu/Państwu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Odbiorcy danych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 Pani/Pana/Państwa dane osobowe będą przekazywane osobom lub podmiotom, którym udostępniona zostanie dokumentacja postępowania w oparciu o zapisy rozdziału 3.2 „Wytycznych dotyczących kwalifikowalności wydatków na lata 2021-2027”, uprawnionym instytucjom określonym przez przepisy prawa. Pani/Pana/Państwa dane osobowe nie będą przekazywane do państwa trzeciego lub organizacji międzynarodowej.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Podanie danych jest dobrowolne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jednakże ich brak uniemożliwi udział w postępowaniu.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Zautomatyzowane podejmowanie decyzji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 Informujemy, że w ramach przetwarzania danych, o których mowa powyżej nie będą podejmowane decyzje w sposób zautomatyzowany i Pani/Pana/Państwa dane nie będą profilowane.</w:t>
      </w:r>
    </w:p>
    <w:p w:rsidR="00000000" w:rsidDel="00000000" w:rsidP="00000000" w:rsidRDefault="00000000" w:rsidRPr="00000000" w14:paraId="00000011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0" w:right="8" w:hanging="2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6">
      <w:pPr>
        <w:spacing w:line="276" w:lineRule="auto"/>
        <w:ind w:left="0" w:right="8" w:hanging="2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(data  i podpis osoby/osób upoważnionej/ych do reprezentowania Oferenta)</w:t>
      </w:r>
    </w:p>
    <w:p w:rsidR="00000000" w:rsidDel="00000000" w:rsidP="00000000" w:rsidRDefault="00000000" w:rsidRPr="00000000" w14:paraId="00000017">
      <w:pPr>
        <w:spacing w:line="276" w:lineRule="auto"/>
        <w:ind w:left="0" w:right="8" w:hanging="2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* Wyjaśnienie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: Skorzystanie z prawa do sprostowania nie może skutkować zmianą wyniku postępowania o udzielenie zamówienia ani zmianą postanowień umowy w zakresie niezgodnym z Wytycznymi w zakresie kwalifikowalności wydatków w ramach Programu Fundusze Europejskie dla Nowoczesnej Gospodarki 2021–2027 oraz nie może naruszać integralności protokołu oraz jego załączników.</w:t>
      </w:r>
    </w:p>
    <w:p w:rsidR="00000000" w:rsidDel="00000000" w:rsidP="00000000" w:rsidRDefault="00000000" w:rsidRPr="00000000" w14:paraId="00000019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** Wyjaśnienie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0" w:right="8" w:hanging="2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pto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536"/>
        <w:tab w:val="right" w:leader="none" w:pos="9072"/>
      </w:tabs>
      <w:ind w:firstLine="0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spacing w:before="120" w:lineRule="auto"/>
      <w:ind w:hanging="2"/>
      <w:rPr>
        <w:rFonts w:ascii="Times New Roman" w:cs="Times New Roman" w:eastAsia="Times New Roman" w:hAnsi="Times New Roman"/>
        <w:sz w:val="22"/>
        <w:szCs w:val="22"/>
      </w:rPr>
    </w:pPr>
    <w:r w:rsidDel="00000000" w:rsidR="00000000" w:rsidRPr="00000000">
      <w:rPr>
        <w:rFonts w:ascii="Times New Roman" w:cs="Times New Roman" w:eastAsia="Times New Roman" w:hAnsi="Times New Roman"/>
        <w:sz w:val="22"/>
        <w:szCs w:val="22"/>
        <w:rtl w:val="0"/>
      </w:rPr>
      <w:t xml:space="preserve">Załącznik nr 5 do Zapytania Ofertowego nr TRENDEX/ZAM/11/2024/FELD z dn. 2024.10.30</w:t>
    </w:r>
  </w:p>
  <w:p w:rsidR="00000000" w:rsidDel="00000000" w:rsidP="00000000" w:rsidRDefault="00000000" w:rsidRPr="00000000" w14:paraId="0000001E">
    <w:pPr>
      <w:tabs>
        <w:tab w:val="center" w:leader="none" w:pos="4536"/>
        <w:tab w:val="right" w:leader="none" w:pos="9072"/>
      </w:tabs>
      <w:ind w:firstLine="0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umerstrony">
    <w:name w:val="page number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5zw" w:customStyle="1">
    <w:name w:val="5 zw"/>
    <w:basedOn w:val="Normalny"/>
    <w:pPr>
      <w:spacing w:before="120"/>
      <w:contextualSpacing w:val="1"/>
      <w:jc w:val="both"/>
    </w:pPr>
    <w:rPr>
      <w:rFonts w:ascii="Arial" w:cs="Times New Roman" w:eastAsia="Titillium" w:hAnsi="Arial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J6Xc1EHEppeXoRgLxFSCMX7Sxw==">CgMxLjA4AHIhMWtuUUNmMjhzNVVsMVVQcm1iSUYxN0dEcVVHNjJwQlFU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2022-10-26T10:42:00Z</dcterms:created>
  <dc:creator>Józefina Krasnodębska</dc:creator>
</cp:coreProperties>
</file>