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AFB65" w14:textId="77777777" w:rsidR="00D132AA" w:rsidRDefault="00973C77">
      <w:r>
        <w:rPr>
          <w:noProof/>
        </w:rPr>
        <w:drawing>
          <wp:inline distT="0" distB="0" distL="0" distR="0" wp14:anchorId="11EEED79" wp14:editId="1618E7FE">
            <wp:extent cx="5761355" cy="609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B356C" w14:textId="2C60E134" w:rsidR="00D132AA" w:rsidRDefault="00973C77">
      <w:pPr>
        <w:jc w:val="both"/>
        <w:rPr>
          <w:b/>
          <w:bCs/>
        </w:rPr>
      </w:pPr>
      <w:r>
        <w:rPr>
          <w:b/>
          <w:bCs/>
        </w:rPr>
        <w:t xml:space="preserve">Projekt </w:t>
      </w:r>
      <w:bookmarkStart w:id="0" w:name="_Hlk169528379"/>
      <w:r>
        <w:rPr>
          <w:b/>
          <w:bCs/>
        </w:rPr>
        <w:t xml:space="preserve">pn. „Muzeum browarnictwa i górnictwa wraz z innowacyjną linią do produkcji piwa i napoju </w:t>
      </w:r>
      <w:proofErr w:type="spellStart"/>
      <w:r>
        <w:rPr>
          <w:b/>
          <w:bCs/>
        </w:rPr>
        <w:t>b</w:t>
      </w:r>
      <w:r w:rsidR="006F4122">
        <w:rPr>
          <w:b/>
          <w:bCs/>
        </w:rPr>
        <w:t>rz</w:t>
      </w:r>
      <w:r>
        <w:rPr>
          <w:b/>
          <w:bCs/>
        </w:rPr>
        <w:t>eczkowego</w:t>
      </w:r>
      <w:proofErr w:type="spellEnd"/>
      <w:r>
        <w:rPr>
          <w:b/>
          <w:bCs/>
        </w:rPr>
        <w:t xml:space="preserve"> oraz restauracją, winiarnią i ścieżką edukacyjną” współfinansowany w ramach </w:t>
      </w:r>
      <w:r w:rsidR="006F4122">
        <w:rPr>
          <w:b/>
          <w:bCs/>
        </w:rPr>
        <w:t>programu Fundusze</w:t>
      </w:r>
      <w:r>
        <w:rPr>
          <w:b/>
          <w:bCs/>
        </w:rPr>
        <w:t xml:space="preserve"> Europejskie dla Dolnego Śląska na lata 2021-2027,</w:t>
      </w:r>
      <w:r>
        <w:t xml:space="preserve"> </w:t>
      </w:r>
      <w:r>
        <w:rPr>
          <w:b/>
          <w:bCs/>
        </w:rPr>
        <w:t>Oś priorytetowa</w:t>
      </w:r>
      <w:r w:rsidR="00263F1B">
        <w:rPr>
          <w:b/>
          <w:bCs/>
        </w:rPr>
        <w:t xml:space="preserve"> </w:t>
      </w:r>
      <w:r>
        <w:rPr>
          <w:b/>
          <w:bCs/>
        </w:rPr>
        <w:t>FEDS.09</w:t>
      </w:r>
      <w:r w:rsidR="00263F1B">
        <w:rPr>
          <w:b/>
          <w:bCs/>
        </w:rPr>
        <w:t> </w:t>
      </w:r>
      <w:r>
        <w:rPr>
          <w:b/>
          <w:bCs/>
        </w:rPr>
        <w:t xml:space="preserve">Fundusze Europejskie na rzecz transformacji obszarów górniczych na Dolnym </w:t>
      </w:r>
      <w:r w:rsidR="006F4122">
        <w:rPr>
          <w:b/>
          <w:bCs/>
        </w:rPr>
        <w:t xml:space="preserve">Śląsku, </w:t>
      </w:r>
      <w:r>
        <w:rPr>
          <w:b/>
          <w:bCs/>
        </w:rPr>
        <w:t>Działanie FEDS.09.04 Transformacja gospodarcza</w:t>
      </w:r>
      <w:bookmarkEnd w:id="0"/>
    </w:p>
    <w:p w14:paraId="791D4101" w14:textId="42A1CF2D" w:rsidR="00D132AA" w:rsidRDefault="00973C77">
      <w:pPr>
        <w:rPr>
          <w:color w:val="C00000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</w:t>
      </w:r>
      <w:r w:rsidRPr="006F4122">
        <w:t>Wałbrzych, dn.</w:t>
      </w:r>
      <w:r w:rsidR="006F4122">
        <w:t xml:space="preserve"> </w:t>
      </w:r>
      <w:r w:rsidR="00877118">
        <w:t>31</w:t>
      </w:r>
      <w:r w:rsidRPr="006F4122">
        <w:t>.</w:t>
      </w:r>
      <w:r w:rsidR="00877118">
        <w:t>10</w:t>
      </w:r>
      <w:r w:rsidRPr="006F4122">
        <w:t>.2024 r.</w:t>
      </w:r>
    </w:p>
    <w:p w14:paraId="7253BC38" w14:textId="77777777" w:rsidR="00D132AA" w:rsidRDefault="00973C77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ZAPYTANIE OFERTOWE</w:t>
      </w:r>
    </w:p>
    <w:p w14:paraId="1168B01A" w14:textId="3DEE13AD" w:rsidR="00D132AA" w:rsidRDefault="00973C77">
      <w:pPr>
        <w:contextualSpacing/>
        <w:jc w:val="center"/>
        <w:rPr>
          <w:b/>
          <w:bCs/>
        </w:rPr>
      </w:pPr>
      <w:bookmarkStart w:id="1" w:name="_Hlk181284143"/>
      <w:r>
        <w:rPr>
          <w:b/>
          <w:bCs/>
        </w:rPr>
        <w:t xml:space="preserve">w sprawie </w:t>
      </w:r>
      <w:r w:rsidR="006F4122">
        <w:rPr>
          <w:b/>
          <w:bCs/>
        </w:rPr>
        <w:t>zamówienia, którego</w:t>
      </w:r>
      <w:r>
        <w:rPr>
          <w:b/>
          <w:bCs/>
        </w:rPr>
        <w:t xml:space="preserve"> wartość przekracza kwotę 50 000,00 zł netto, </w:t>
      </w:r>
    </w:p>
    <w:p w14:paraId="78387D61" w14:textId="5E8100B3" w:rsidR="00D132AA" w:rsidRDefault="00973C77">
      <w:pPr>
        <w:contextualSpacing/>
        <w:jc w:val="center"/>
        <w:rPr>
          <w:b/>
          <w:bCs/>
          <w:color w:val="FF0000"/>
        </w:rPr>
      </w:pPr>
      <w:r>
        <w:rPr>
          <w:b/>
          <w:bCs/>
        </w:rPr>
        <w:t xml:space="preserve">polegającego na </w:t>
      </w:r>
      <w:r w:rsidR="00880CA6">
        <w:rPr>
          <w:b/>
          <w:bCs/>
        </w:rPr>
        <w:t>dostawie i montażu l</w:t>
      </w:r>
      <w:r w:rsidR="00880CA6" w:rsidRPr="00880CA6">
        <w:rPr>
          <w:b/>
          <w:bCs/>
        </w:rPr>
        <w:t>ini</w:t>
      </w:r>
      <w:r w:rsidR="00880CA6">
        <w:rPr>
          <w:b/>
          <w:bCs/>
        </w:rPr>
        <w:t>i</w:t>
      </w:r>
      <w:r w:rsidR="00880CA6" w:rsidRPr="00880CA6">
        <w:rPr>
          <w:b/>
          <w:bCs/>
        </w:rPr>
        <w:t xml:space="preserve"> </w:t>
      </w:r>
      <w:r w:rsidR="00880CA6">
        <w:rPr>
          <w:b/>
          <w:bCs/>
        </w:rPr>
        <w:t>t</w:t>
      </w:r>
      <w:r w:rsidR="00880CA6" w:rsidRPr="00880CA6">
        <w:rPr>
          <w:b/>
          <w:bCs/>
        </w:rPr>
        <w:t>echnologiczn</w:t>
      </w:r>
      <w:r w:rsidR="00880CA6">
        <w:rPr>
          <w:b/>
          <w:bCs/>
        </w:rPr>
        <w:t>ej</w:t>
      </w:r>
      <w:r w:rsidR="00880CA6" w:rsidRPr="00880CA6">
        <w:rPr>
          <w:b/>
          <w:bCs/>
        </w:rPr>
        <w:t xml:space="preserve"> do </w:t>
      </w:r>
      <w:r w:rsidR="00880CA6">
        <w:rPr>
          <w:b/>
          <w:bCs/>
        </w:rPr>
        <w:t>p</w:t>
      </w:r>
      <w:r w:rsidR="00880CA6" w:rsidRPr="00880CA6">
        <w:rPr>
          <w:b/>
          <w:bCs/>
        </w:rPr>
        <w:t xml:space="preserve">rodukcji </w:t>
      </w:r>
      <w:r w:rsidR="00880CA6">
        <w:rPr>
          <w:b/>
          <w:bCs/>
        </w:rPr>
        <w:t>p</w:t>
      </w:r>
      <w:r w:rsidR="00880CA6" w:rsidRPr="00880CA6">
        <w:rPr>
          <w:b/>
          <w:bCs/>
        </w:rPr>
        <w:t>iwa</w:t>
      </w:r>
      <w:r w:rsidR="00880CA6">
        <w:rPr>
          <w:b/>
          <w:bCs/>
        </w:rPr>
        <w:t xml:space="preserve"> oraz linii do butelkowania</w:t>
      </w:r>
      <w:r>
        <w:rPr>
          <w:b/>
          <w:bCs/>
        </w:rPr>
        <w:t xml:space="preserve"> </w:t>
      </w:r>
      <w:r w:rsidR="00880CA6">
        <w:rPr>
          <w:b/>
          <w:bCs/>
        </w:rPr>
        <w:t>do</w:t>
      </w:r>
      <w:r>
        <w:rPr>
          <w:b/>
          <w:bCs/>
        </w:rPr>
        <w:t xml:space="preserve"> kopalni z szybem IRENA</w:t>
      </w:r>
      <w:r w:rsidR="00880CA6">
        <w:rPr>
          <w:b/>
          <w:bCs/>
        </w:rPr>
        <w:t xml:space="preserve"> </w:t>
      </w:r>
      <w:r>
        <w:rPr>
          <w:b/>
          <w:bCs/>
        </w:rPr>
        <w:t>w Wałbrzychu</w:t>
      </w:r>
    </w:p>
    <w:bookmarkEnd w:id="1"/>
    <w:p w14:paraId="2A2EEB53" w14:textId="77777777" w:rsidR="00D132AA" w:rsidRDefault="00D132AA">
      <w:pPr>
        <w:contextualSpacing/>
        <w:rPr>
          <w:b/>
          <w:bCs/>
          <w:color w:val="FF0000"/>
        </w:rPr>
      </w:pPr>
    </w:p>
    <w:p w14:paraId="65069702" w14:textId="77777777" w:rsidR="00D132AA" w:rsidRDefault="00D132AA">
      <w:pPr>
        <w:contextualSpacing/>
        <w:rPr>
          <w:b/>
          <w:bCs/>
          <w:color w:val="FF0000"/>
        </w:rPr>
      </w:pPr>
    </w:p>
    <w:p w14:paraId="48DC08FC" w14:textId="6696CB40" w:rsidR="00D132AA" w:rsidRDefault="00973C77" w:rsidP="00DB5462">
      <w:pPr>
        <w:spacing w:after="240"/>
        <w:rPr>
          <w:b/>
          <w:bCs/>
        </w:rPr>
      </w:pPr>
      <w:r>
        <w:rPr>
          <w:b/>
          <w:bCs/>
        </w:rPr>
        <w:t>KOD CPV:</w:t>
      </w:r>
    </w:p>
    <w:p w14:paraId="4CB5E230" w14:textId="7E70AFA7" w:rsidR="00880CA6" w:rsidRDefault="00880CA6" w:rsidP="00880CA6">
      <w:pPr>
        <w:contextualSpacing/>
      </w:pPr>
      <w:r w:rsidRPr="00880CA6">
        <w:rPr>
          <w:b/>
          <w:bCs/>
        </w:rPr>
        <w:t>42000000-6</w:t>
      </w:r>
      <w:r>
        <w:rPr>
          <w:b/>
          <w:bCs/>
        </w:rPr>
        <w:t xml:space="preserve"> –</w:t>
      </w:r>
      <w:r>
        <w:t xml:space="preserve"> Maszyny przemysłowe</w:t>
      </w:r>
    </w:p>
    <w:p w14:paraId="78B32A98" w14:textId="7A9F7BD4" w:rsidR="00880CA6" w:rsidRDefault="00880CA6" w:rsidP="00880CA6">
      <w:pPr>
        <w:contextualSpacing/>
      </w:pPr>
      <w:r w:rsidRPr="00880CA6">
        <w:rPr>
          <w:b/>
          <w:bCs/>
        </w:rPr>
        <w:t>42200000-8</w:t>
      </w:r>
      <w:r>
        <w:rPr>
          <w:b/>
          <w:bCs/>
        </w:rPr>
        <w:t xml:space="preserve"> –</w:t>
      </w:r>
      <w:r>
        <w:t xml:space="preserve"> Maszyny do obróbki żywności, napojów i tytoniu oraz podobne części</w:t>
      </w:r>
    </w:p>
    <w:p w14:paraId="0C75FD49" w14:textId="6A5551D0" w:rsidR="00880CA6" w:rsidRDefault="00880CA6" w:rsidP="00880CA6">
      <w:pPr>
        <w:contextualSpacing/>
      </w:pPr>
      <w:r w:rsidRPr="00880CA6">
        <w:rPr>
          <w:b/>
          <w:bCs/>
        </w:rPr>
        <w:t>42212000-5</w:t>
      </w:r>
      <w:r>
        <w:rPr>
          <w:b/>
          <w:bCs/>
        </w:rPr>
        <w:t xml:space="preserve"> –</w:t>
      </w:r>
      <w:r>
        <w:t xml:space="preserve"> Maszyny do obróbki zbóż lub suszonych warzyw</w:t>
      </w:r>
    </w:p>
    <w:p w14:paraId="25829AEF" w14:textId="6D53B78F" w:rsidR="00880CA6" w:rsidRDefault="00880CA6" w:rsidP="00880CA6">
      <w:pPr>
        <w:contextualSpacing/>
      </w:pPr>
      <w:r w:rsidRPr="00880CA6">
        <w:rPr>
          <w:b/>
          <w:bCs/>
        </w:rPr>
        <w:t>42400000-0</w:t>
      </w:r>
      <w:r>
        <w:rPr>
          <w:b/>
          <w:bCs/>
        </w:rPr>
        <w:t xml:space="preserve"> –</w:t>
      </w:r>
      <w:r>
        <w:t xml:space="preserve"> Urządzenia podnośnikowe i przeładunkowe oraz ich części</w:t>
      </w:r>
    </w:p>
    <w:p w14:paraId="1E7E8C42" w14:textId="3F683E3B" w:rsidR="00880CA6" w:rsidRDefault="00880CA6" w:rsidP="00880CA6">
      <w:pPr>
        <w:contextualSpacing/>
      </w:pPr>
      <w:r w:rsidRPr="00880CA6">
        <w:rPr>
          <w:b/>
          <w:bCs/>
        </w:rPr>
        <w:t>42500000-1</w:t>
      </w:r>
      <w:r>
        <w:rPr>
          <w:b/>
          <w:bCs/>
        </w:rPr>
        <w:t xml:space="preserve"> –</w:t>
      </w:r>
      <w:r>
        <w:t xml:space="preserve"> Urządzenia chłodzące i wentylacyjne</w:t>
      </w:r>
    </w:p>
    <w:p w14:paraId="77D773C0" w14:textId="298CF93C" w:rsidR="00880CA6" w:rsidRDefault="00880CA6" w:rsidP="00880CA6">
      <w:pPr>
        <w:contextualSpacing/>
      </w:pPr>
      <w:r w:rsidRPr="00880CA6">
        <w:rPr>
          <w:b/>
          <w:bCs/>
        </w:rPr>
        <w:t>42900000-5</w:t>
      </w:r>
      <w:r>
        <w:rPr>
          <w:b/>
          <w:bCs/>
        </w:rPr>
        <w:t xml:space="preserve"> –</w:t>
      </w:r>
      <w:r>
        <w:t xml:space="preserve"> Różne maszyny ogólnego i specjalnego przeznaczenia</w:t>
      </w:r>
    </w:p>
    <w:p w14:paraId="1EE07EAB" w14:textId="0E231A62" w:rsidR="00880CA6" w:rsidRDefault="00880CA6" w:rsidP="007F2DDC">
      <w:pPr>
        <w:contextualSpacing/>
      </w:pPr>
      <w:r w:rsidRPr="00880CA6">
        <w:rPr>
          <w:b/>
          <w:bCs/>
        </w:rPr>
        <w:t>42920000-1</w:t>
      </w:r>
      <w:r>
        <w:rPr>
          <w:b/>
          <w:bCs/>
        </w:rPr>
        <w:t xml:space="preserve"> –</w:t>
      </w:r>
      <w:r>
        <w:t xml:space="preserve"> Maszyny do czyszczenia butelek, opakowań oraz maszyny ważące i</w:t>
      </w:r>
      <w:r w:rsidR="007F2DDC">
        <w:t xml:space="preserve"> </w:t>
      </w:r>
      <w:r>
        <w:t>natryskujące</w:t>
      </w:r>
    </w:p>
    <w:p w14:paraId="25681D6C" w14:textId="2505F4C2" w:rsidR="00880CA6" w:rsidRDefault="00880CA6" w:rsidP="00880CA6">
      <w:pPr>
        <w:contextualSpacing/>
      </w:pPr>
      <w:r w:rsidRPr="00880CA6">
        <w:rPr>
          <w:b/>
          <w:bCs/>
        </w:rPr>
        <w:t>44600000-6</w:t>
      </w:r>
      <w:r>
        <w:rPr>
          <w:b/>
          <w:bCs/>
        </w:rPr>
        <w:t xml:space="preserve"> –</w:t>
      </w:r>
      <w:r>
        <w:t xml:space="preserve"> Zbiorniki, rezerwuary i pojemniki; grzejniki centralnego ogrzewania i kotły</w:t>
      </w:r>
    </w:p>
    <w:p w14:paraId="42004AEA" w14:textId="32214825" w:rsidR="00880CA6" w:rsidRPr="00880CA6" w:rsidRDefault="00880CA6" w:rsidP="00880CA6">
      <w:pPr>
        <w:contextualSpacing/>
      </w:pPr>
      <w:r w:rsidRPr="00880CA6">
        <w:rPr>
          <w:b/>
          <w:bCs/>
        </w:rPr>
        <w:t>44610000-9</w:t>
      </w:r>
      <w:r>
        <w:rPr>
          <w:b/>
          <w:bCs/>
        </w:rPr>
        <w:t xml:space="preserve"> –</w:t>
      </w:r>
      <w:r>
        <w:t xml:space="preserve"> Zbiorniki, rezerwuary, pojemniki</w:t>
      </w:r>
    </w:p>
    <w:p w14:paraId="4870B560" w14:textId="62F8F1F9" w:rsidR="00D132AA" w:rsidRDefault="00973C77" w:rsidP="006F4122">
      <w:pPr>
        <w:pStyle w:val="Nagwek1"/>
        <w:numPr>
          <w:ilvl w:val="0"/>
          <w:numId w:val="17"/>
        </w:numPr>
      </w:pPr>
      <w:r>
        <w:t>ZAMAWIAJĄCY</w:t>
      </w:r>
    </w:p>
    <w:p w14:paraId="26EAEF68" w14:textId="77777777" w:rsidR="00D132AA" w:rsidRDefault="00973C77" w:rsidP="002C53E9">
      <w:pPr>
        <w:spacing w:line="240" w:lineRule="auto"/>
        <w:ind w:left="142"/>
        <w:contextualSpacing/>
        <w:jc w:val="both"/>
        <w:rPr>
          <w:b/>
          <w:bCs/>
        </w:rPr>
      </w:pPr>
      <w:bookmarkStart w:id="2" w:name="_Hlk169524777"/>
      <w:bookmarkStart w:id="3" w:name="_Hlk169525610"/>
      <w:r>
        <w:rPr>
          <w:b/>
          <w:bCs/>
        </w:rPr>
        <w:t>LIBERTADOR Spółka z ograniczoną odpowiedzialnością</w:t>
      </w:r>
      <w:bookmarkEnd w:id="2"/>
    </w:p>
    <w:p w14:paraId="1DEF1FDB" w14:textId="77777777" w:rsidR="00D132AA" w:rsidRDefault="00973C77" w:rsidP="002C53E9">
      <w:pPr>
        <w:spacing w:line="240" w:lineRule="auto"/>
        <w:ind w:left="142"/>
        <w:contextualSpacing/>
        <w:jc w:val="both"/>
        <w:rPr>
          <w:b/>
          <w:bCs/>
        </w:rPr>
      </w:pPr>
      <w:r>
        <w:rPr>
          <w:b/>
          <w:bCs/>
        </w:rPr>
        <w:t>ul. Emilii Plater 3A, 58-305 Wałbrzych</w:t>
      </w:r>
    </w:p>
    <w:p w14:paraId="79A5DB70" w14:textId="77777777" w:rsidR="00D132AA" w:rsidRDefault="00973C77" w:rsidP="002C53E9">
      <w:pPr>
        <w:spacing w:line="240" w:lineRule="auto"/>
        <w:ind w:left="142"/>
        <w:contextualSpacing/>
        <w:jc w:val="both"/>
      </w:pPr>
      <w:r>
        <w:t>NIP: 8862975991</w:t>
      </w:r>
    </w:p>
    <w:p w14:paraId="6AE05172" w14:textId="77777777" w:rsidR="00D132AA" w:rsidRDefault="00973C77" w:rsidP="002C53E9">
      <w:pPr>
        <w:spacing w:line="240" w:lineRule="auto"/>
        <w:ind w:left="142"/>
        <w:contextualSpacing/>
        <w:jc w:val="both"/>
      </w:pPr>
      <w:r>
        <w:t>REGON: 021743390</w:t>
      </w:r>
    </w:p>
    <w:p w14:paraId="3AA162B3" w14:textId="77777777" w:rsidR="00D132AA" w:rsidRDefault="00973C77" w:rsidP="002C53E9">
      <w:pPr>
        <w:spacing w:line="240" w:lineRule="auto"/>
        <w:ind w:left="142"/>
        <w:contextualSpacing/>
        <w:jc w:val="both"/>
      </w:pPr>
      <w:r>
        <w:t>KRS: 0000399240</w:t>
      </w:r>
    </w:p>
    <w:p w14:paraId="5C54303D" w14:textId="77777777" w:rsidR="00D132AA" w:rsidRDefault="00973C77" w:rsidP="002C53E9">
      <w:pPr>
        <w:spacing w:line="240" w:lineRule="auto"/>
        <w:ind w:left="142"/>
        <w:contextualSpacing/>
        <w:jc w:val="both"/>
      </w:pPr>
      <w:r>
        <w:t>tel.: 504 093 270</w:t>
      </w:r>
    </w:p>
    <w:p w14:paraId="24CB6B61" w14:textId="77777777" w:rsidR="00D132AA" w:rsidRDefault="00973C77" w:rsidP="002C53E9">
      <w:pPr>
        <w:spacing w:line="240" w:lineRule="auto"/>
        <w:ind w:left="142"/>
        <w:contextualSpacing/>
        <w:jc w:val="both"/>
      </w:pPr>
      <w:r>
        <w:t xml:space="preserve"> e-mail: </w:t>
      </w:r>
      <w:hyperlink r:id="rId9">
        <w:r>
          <w:rPr>
            <w:rStyle w:val="Hipercze"/>
          </w:rPr>
          <w:t>biuro@ewis.pl</w:t>
        </w:r>
      </w:hyperlink>
      <w:bookmarkEnd w:id="3"/>
    </w:p>
    <w:p w14:paraId="682370B3" w14:textId="0367D280" w:rsidR="00D132AA" w:rsidRPr="006F4122" w:rsidRDefault="00973C77" w:rsidP="002C53E9">
      <w:pPr>
        <w:pStyle w:val="Nagwek1"/>
        <w:numPr>
          <w:ilvl w:val="0"/>
          <w:numId w:val="17"/>
        </w:numPr>
      </w:pPr>
      <w:r w:rsidRPr="006F4122">
        <w:t>OPIS PRZEDMIOTU ZAMÓWIENIA</w:t>
      </w:r>
    </w:p>
    <w:p w14:paraId="32A76A81" w14:textId="3AE57B41" w:rsidR="00D132AA" w:rsidRDefault="00973C77" w:rsidP="00A90F56">
      <w:pPr>
        <w:pStyle w:val="Akapitzlist"/>
        <w:numPr>
          <w:ilvl w:val="0"/>
          <w:numId w:val="2"/>
        </w:numPr>
        <w:jc w:val="both"/>
      </w:pPr>
      <w:r>
        <w:t xml:space="preserve">Zamówienie obejmuje </w:t>
      </w:r>
      <w:bookmarkStart w:id="4" w:name="_Hlk169361596"/>
      <w:bookmarkStart w:id="5" w:name="_Hlk169369302"/>
      <w:r w:rsidR="00880CA6" w:rsidRPr="00880CA6">
        <w:t>dostaw</w:t>
      </w:r>
      <w:r w:rsidR="00880CA6">
        <w:t>ę</w:t>
      </w:r>
      <w:r w:rsidR="00880CA6" w:rsidRPr="00880CA6">
        <w:t xml:space="preserve"> i montaż linii technologicznej do produkcji piwa oraz linii do butelkowania do kopalni z szybem IRENA w Wałbrzychu</w:t>
      </w:r>
      <w:r>
        <w:t xml:space="preserve"> </w:t>
      </w:r>
      <w:bookmarkEnd w:id="4"/>
      <w:r>
        <w:t>przy</w:t>
      </w:r>
      <w:r w:rsidR="002C53E9">
        <w:t xml:space="preserve"> </w:t>
      </w:r>
      <w:r>
        <w:t>ul.</w:t>
      </w:r>
      <w:r w:rsidR="002C53E9">
        <w:t> </w:t>
      </w:r>
      <w:r>
        <w:t>E</w:t>
      </w:r>
      <w:r w:rsidR="002C53E9">
        <w:t>. </w:t>
      </w:r>
      <w:r>
        <w:t>Plater 3a</w:t>
      </w:r>
      <w:bookmarkEnd w:id="5"/>
      <w:r w:rsidR="007F2DDC">
        <w:t>.</w:t>
      </w:r>
    </w:p>
    <w:p w14:paraId="454EDB92" w14:textId="7BFF2318" w:rsidR="00880CA6" w:rsidRDefault="00880CA6" w:rsidP="00880CA6">
      <w:pPr>
        <w:pStyle w:val="Akapitzlist"/>
        <w:numPr>
          <w:ilvl w:val="0"/>
          <w:numId w:val="2"/>
        </w:numPr>
        <w:suppressAutoHyphens w:val="0"/>
        <w:spacing w:line="240" w:lineRule="auto"/>
        <w:jc w:val="both"/>
      </w:pPr>
      <w:r>
        <w:t xml:space="preserve">Specyfikacja techniczna linii technologicznej do produkcji piwa oraz linii do butelkowania stanowi </w:t>
      </w:r>
      <w:r>
        <w:rPr>
          <w:b/>
          <w:bCs/>
        </w:rPr>
        <w:t>Załącznik nr 1</w:t>
      </w:r>
      <w:r>
        <w:t xml:space="preserve"> do zapytania ofertowego.  </w:t>
      </w:r>
    </w:p>
    <w:p w14:paraId="626D8F18" w14:textId="3C301FA3" w:rsidR="00D132AA" w:rsidRDefault="00880CA6" w:rsidP="00A90F56">
      <w:pPr>
        <w:pStyle w:val="Akapitzlist"/>
        <w:numPr>
          <w:ilvl w:val="0"/>
          <w:numId w:val="2"/>
        </w:numPr>
        <w:jc w:val="both"/>
      </w:pPr>
      <w:r>
        <w:t>M</w:t>
      </w:r>
      <w:r w:rsidR="00973C77">
        <w:t xml:space="preserve">inimalny wymagany okres gwarancji jakości na przedmiot zamówienia wynosi: </w:t>
      </w:r>
      <w:r w:rsidR="00973C77">
        <w:rPr>
          <w:b/>
          <w:bCs/>
        </w:rPr>
        <w:t>48 miesięcy.</w:t>
      </w:r>
    </w:p>
    <w:p w14:paraId="7CE0DB3E" w14:textId="4A9B92BE" w:rsidR="00D132AA" w:rsidRDefault="00973C77" w:rsidP="00A90F56">
      <w:pPr>
        <w:pStyle w:val="Akapitzlist"/>
        <w:numPr>
          <w:ilvl w:val="0"/>
          <w:numId w:val="2"/>
        </w:numPr>
        <w:jc w:val="both"/>
      </w:pPr>
      <w:r>
        <w:t xml:space="preserve">Ewentualne podane w opisie przedmiotu zamówienia odniesienia do nazw własnych, znaków towarowych, patentów lub pochodzenia, źródła lub szczególnego procesu, które charakteryzują produkty lub usługi dostarczone przez konkretnego wykonawcę, nie mają na </w:t>
      </w:r>
      <w:r>
        <w:lastRenderedPageBreak/>
        <w:t>celu uprzywilejowanie lub wyeliminowanie niektórych wykonawców lub produktów, a jedynie sprecyzowanie</w:t>
      </w:r>
      <w:r w:rsidR="00A90F56">
        <w:t xml:space="preserve"> </w:t>
      </w:r>
      <w:r>
        <w:t>oczekiwań jakościowych,</w:t>
      </w:r>
      <w:r w:rsidR="00E2348E">
        <w:t xml:space="preserve"> </w:t>
      </w:r>
      <w:r>
        <w:t>technologicznych, wydajnościowych</w:t>
      </w:r>
      <w:r w:rsidR="00DB5462">
        <w:t xml:space="preserve"> </w:t>
      </w:r>
      <w:r>
        <w:t xml:space="preserve">czy funkcjonalnych Zamawiającego. Zamawiający wskazuje, że Wykonawca może zaoferować przedmiot zamówienia określony w zapytaniu ofertowym </w:t>
      </w:r>
      <w:r>
        <w:rPr>
          <w:b/>
          <w:bCs/>
        </w:rPr>
        <w:t>lub równoważny</w:t>
      </w:r>
      <w:r>
        <w:t>.</w:t>
      </w:r>
    </w:p>
    <w:p w14:paraId="741A1980" w14:textId="012C0A59" w:rsidR="00D132AA" w:rsidRDefault="00973C77" w:rsidP="00EE4F33">
      <w:pPr>
        <w:pStyle w:val="Nagwek1"/>
        <w:numPr>
          <w:ilvl w:val="0"/>
          <w:numId w:val="17"/>
        </w:numPr>
      </w:pPr>
      <w:r>
        <w:t>OPIS WARUNKÓW UDZIAŁU W POSTĘPOWANIU ORAZ SPOSOBU DOKONYWANIA OCENY ICH SPEŁNIENIA</w:t>
      </w:r>
    </w:p>
    <w:p w14:paraId="79B8A448" w14:textId="5BFCDEAF" w:rsidR="008F1E62" w:rsidRDefault="00973C77" w:rsidP="002C53E9">
      <w:pPr>
        <w:pStyle w:val="Akapitzlist"/>
        <w:numPr>
          <w:ilvl w:val="0"/>
          <w:numId w:val="3"/>
        </w:numPr>
        <w:jc w:val="both"/>
      </w:pPr>
      <w:r>
        <w:t>O udzielenie zamówienia mogą ubiegać się Wykonawcy, którzy wykażą minimalny poziom zdolności ekonomicznej i finansowej, a mianowicie są ubezpieczeni</w:t>
      </w:r>
      <w:r w:rsidR="009243FB">
        <w:t xml:space="preserve"> </w:t>
      </w:r>
      <w:r>
        <w:t>od</w:t>
      </w:r>
      <w:r w:rsidR="009243FB">
        <w:t xml:space="preserve"> </w:t>
      </w:r>
      <w:r>
        <w:t xml:space="preserve">odpowiedzialności cywilnej w zakresie prowadzonej działalności związanej z przedmiotem zamówienia na sumę gwarancyjną minimum: </w:t>
      </w:r>
      <w:r w:rsidRPr="008F1E62">
        <w:rPr>
          <w:b/>
          <w:bCs/>
        </w:rPr>
        <w:t>100 000 zł</w:t>
      </w:r>
      <w:r>
        <w:t>.</w:t>
      </w:r>
      <w:r w:rsidR="008F1E62">
        <w:t xml:space="preserve"> </w:t>
      </w:r>
    </w:p>
    <w:p w14:paraId="36CB2392" w14:textId="77777777" w:rsidR="008F1E62" w:rsidRDefault="008F1E62" w:rsidP="002C53E9">
      <w:pPr>
        <w:pStyle w:val="Akapitzlist"/>
        <w:jc w:val="both"/>
      </w:pPr>
    </w:p>
    <w:p w14:paraId="1D61D15E" w14:textId="3B834A6E" w:rsidR="008F1E62" w:rsidRDefault="00973C77" w:rsidP="002C53E9">
      <w:pPr>
        <w:pStyle w:val="Akapitzlist"/>
        <w:jc w:val="both"/>
      </w:pPr>
      <w:r>
        <w:t>W celu potwierdzenia spełniania warunku dotyczącego sytuacji ekonomicznej lub finansowej Zamawiający żąda od Wykonawcy:</w:t>
      </w:r>
    </w:p>
    <w:p w14:paraId="08FDB79F" w14:textId="0D5BAD6A" w:rsidR="008F1E62" w:rsidRDefault="00973C77" w:rsidP="002C53E9">
      <w:pPr>
        <w:pStyle w:val="Akapitzlist"/>
        <w:jc w:val="both"/>
      </w:pPr>
      <w:r>
        <w:t xml:space="preserve">- dokumentu potwierdzającego, że Wykonawca jest ubezpieczony od odpowiedzialności cywilnej w zakresie prowadzonej działalności związanej z przedmiotem zamówienia, ze wskazaniem sumy gwarancyjnej tego ubezpieczenia. Dokumentem, o </w:t>
      </w:r>
      <w:r w:rsidR="008F1E62">
        <w:t>którym mowa wyżej</w:t>
      </w:r>
      <w:r>
        <w:t xml:space="preserve"> może być opłacona polisa ubezpieczeniowa od odpowiedzialności cywilnej lub inny równoważny dokument.  </w:t>
      </w:r>
    </w:p>
    <w:p w14:paraId="181C03A3" w14:textId="0B8BF49B" w:rsidR="00D132AA" w:rsidRDefault="00973C77" w:rsidP="002C53E9">
      <w:pPr>
        <w:pStyle w:val="Nagwek1"/>
        <w:numPr>
          <w:ilvl w:val="0"/>
          <w:numId w:val="17"/>
        </w:numPr>
      </w:pPr>
      <w:r>
        <w:t>KRYTERIA OCENY OFERT, INFORMACJA O WAGACH PUNKTOWYCH LUB PROCENTOWYCH</w:t>
      </w:r>
      <w:r w:rsidR="006F4122">
        <w:t xml:space="preserve"> </w:t>
      </w:r>
      <w:r>
        <w:t xml:space="preserve">PRZYPISANYCH DO POSZCZEGÓLNYCH KRYTERIÓW OCENY OFERT ORAZ OPIS SPOSOBU PRZYZNAWANIA PUNKTACJI ZA SPEŁNIENIE DANEGO </w:t>
      </w:r>
      <w:r w:rsidR="002C3D26">
        <w:t>KRYTERIUM</w:t>
      </w:r>
      <w:r>
        <w:t xml:space="preserve"> OCENY OFERT</w:t>
      </w:r>
    </w:p>
    <w:p w14:paraId="5E7812BB" w14:textId="77777777" w:rsidR="00EC5B44" w:rsidRDefault="00973C77" w:rsidP="00A90F56">
      <w:pPr>
        <w:pStyle w:val="Akapitzlist"/>
        <w:numPr>
          <w:ilvl w:val="1"/>
          <w:numId w:val="17"/>
        </w:numPr>
        <w:ind w:left="714" w:hanging="357"/>
        <w:jc w:val="both"/>
        <w:rPr>
          <w:rFonts w:cstheme="minorHAnsi"/>
        </w:rPr>
      </w:pPr>
      <w:r w:rsidRPr="00EC5B44">
        <w:rPr>
          <w:rFonts w:cstheme="minorHAnsi"/>
        </w:rPr>
        <w:t>Przy wyborze oferty najkorzystniejszej, Zamawiający będzie się kierował następującymi kryteriami:</w:t>
      </w:r>
    </w:p>
    <w:p w14:paraId="57A1448B" w14:textId="2C8D6BED" w:rsidR="00D132AA" w:rsidRPr="00EC5B44" w:rsidRDefault="00973C77" w:rsidP="00A90F56">
      <w:pPr>
        <w:pStyle w:val="Akapitzlist"/>
        <w:numPr>
          <w:ilvl w:val="2"/>
          <w:numId w:val="17"/>
        </w:numPr>
        <w:ind w:left="993" w:hanging="284"/>
        <w:jc w:val="both"/>
        <w:rPr>
          <w:rFonts w:cstheme="minorHAnsi"/>
        </w:rPr>
      </w:pPr>
      <w:r w:rsidRPr="00EC5B44">
        <w:rPr>
          <w:rFonts w:cstheme="minorHAnsi"/>
          <w:b/>
          <w:bCs/>
        </w:rPr>
        <w:t>Kryterium „CENA” w PLN</w:t>
      </w:r>
      <w:r w:rsidRPr="00EC5B44">
        <w:rPr>
          <w:rFonts w:cstheme="minorHAnsi"/>
        </w:rPr>
        <w:t>:</w:t>
      </w:r>
    </w:p>
    <w:p w14:paraId="60CF7298" w14:textId="77777777" w:rsidR="00D132AA" w:rsidRDefault="00973C77" w:rsidP="00A90F56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>
        <w:rPr>
          <w:rFonts w:cstheme="minorHAnsi"/>
        </w:rPr>
        <w:t>znaczenie kryterium - 60% (0,6);</w:t>
      </w:r>
    </w:p>
    <w:p w14:paraId="116C12DA" w14:textId="77777777" w:rsidR="00D132AA" w:rsidRDefault="00973C77" w:rsidP="00A90F56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>
        <w:rPr>
          <w:rFonts w:cstheme="minorHAnsi"/>
        </w:rPr>
        <w:t xml:space="preserve">opis sposobu oceny ofert dla kryterium „Ceny”: </w:t>
      </w:r>
    </w:p>
    <w:p w14:paraId="1F9F5348" w14:textId="62A20C03" w:rsidR="00D132AA" w:rsidRPr="00A90F56" w:rsidRDefault="00973C77" w:rsidP="00A90F56">
      <w:pPr>
        <w:pStyle w:val="Akapitzlist"/>
        <w:ind w:left="864" w:firstLine="282"/>
        <w:jc w:val="both"/>
        <w:rPr>
          <w:rFonts w:cstheme="minorHAnsi"/>
          <w:b/>
          <w:bCs/>
        </w:rPr>
      </w:pPr>
      <w:r w:rsidRPr="00A90F56">
        <w:rPr>
          <w:rFonts w:cstheme="minorHAnsi"/>
          <w:b/>
          <w:bCs/>
        </w:rPr>
        <w:t>C = (</w:t>
      </w:r>
      <w:proofErr w:type="spellStart"/>
      <w:r w:rsidRPr="00A90F56">
        <w:rPr>
          <w:rFonts w:cstheme="minorHAnsi"/>
          <w:b/>
          <w:bCs/>
        </w:rPr>
        <w:t>Cmin</w:t>
      </w:r>
      <w:proofErr w:type="spellEnd"/>
      <w:r w:rsidRPr="00A90F56">
        <w:rPr>
          <w:rFonts w:cstheme="minorHAnsi"/>
          <w:b/>
          <w:bCs/>
        </w:rPr>
        <w:t>/Co) x 0,6 x 100 pkt</w:t>
      </w:r>
    </w:p>
    <w:p w14:paraId="3E4AC00E" w14:textId="77777777" w:rsidR="00D132AA" w:rsidRDefault="00973C77" w:rsidP="00A90F56">
      <w:pPr>
        <w:pStyle w:val="Akapitzlist"/>
        <w:ind w:left="864" w:firstLine="282"/>
        <w:jc w:val="both"/>
        <w:rPr>
          <w:rFonts w:cstheme="minorHAnsi"/>
        </w:rPr>
      </w:pPr>
      <w:r>
        <w:rPr>
          <w:rFonts w:cstheme="minorHAnsi"/>
        </w:rPr>
        <w:t>gdzie:</w:t>
      </w:r>
    </w:p>
    <w:p w14:paraId="54B6BD30" w14:textId="7DB3C014" w:rsidR="00D132AA" w:rsidRDefault="00973C77" w:rsidP="00A90F56">
      <w:pPr>
        <w:pStyle w:val="Akapitzlist"/>
        <w:ind w:left="864" w:firstLine="282"/>
        <w:jc w:val="both"/>
        <w:rPr>
          <w:rFonts w:cstheme="minorHAnsi"/>
        </w:rPr>
      </w:pPr>
      <w:r>
        <w:rPr>
          <w:rFonts w:cstheme="minorHAnsi"/>
        </w:rPr>
        <w:t>C - liczba uzyskanych punktów dla kryterium „Cena” ocenianej oferty</w:t>
      </w:r>
    </w:p>
    <w:p w14:paraId="0184CE0E" w14:textId="73DCBC2B" w:rsidR="00D132AA" w:rsidRDefault="00973C77" w:rsidP="00A90F56">
      <w:pPr>
        <w:pStyle w:val="Akapitzlist"/>
        <w:ind w:left="864" w:firstLine="282"/>
        <w:jc w:val="both"/>
        <w:rPr>
          <w:rFonts w:cstheme="minorHAnsi"/>
        </w:rPr>
      </w:pPr>
      <w:proofErr w:type="spellStart"/>
      <w:r>
        <w:rPr>
          <w:rFonts w:cstheme="minorHAnsi"/>
        </w:rPr>
        <w:t>Cmin</w:t>
      </w:r>
      <w:proofErr w:type="spellEnd"/>
      <w:r>
        <w:rPr>
          <w:rFonts w:cstheme="minorHAnsi"/>
        </w:rPr>
        <w:t xml:space="preserve"> – cena brutto w ofercie z najniższą ceną</w:t>
      </w:r>
    </w:p>
    <w:p w14:paraId="5EE1ACFA" w14:textId="762BB607" w:rsidR="00D132AA" w:rsidRDefault="00B70CF3" w:rsidP="00A90F56">
      <w:pPr>
        <w:pStyle w:val="Akapitzlist"/>
        <w:ind w:left="711" w:firstLine="435"/>
        <w:jc w:val="both"/>
        <w:rPr>
          <w:rFonts w:cstheme="minorHAnsi"/>
        </w:rPr>
      </w:pPr>
      <w:r>
        <w:rPr>
          <w:rFonts w:cstheme="minorHAnsi"/>
        </w:rPr>
        <w:t>Co -</w:t>
      </w:r>
      <w:r w:rsidR="00973C77">
        <w:rPr>
          <w:rFonts w:cstheme="minorHAnsi"/>
        </w:rPr>
        <w:t xml:space="preserve"> cena brutto w ofercie ocenianej </w:t>
      </w:r>
    </w:p>
    <w:p w14:paraId="12B5CE03" w14:textId="77777777" w:rsidR="00D132AA" w:rsidRDefault="00D132AA" w:rsidP="00A90F56">
      <w:pPr>
        <w:pStyle w:val="Akapitzlist"/>
        <w:ind w:left="426"/>
        <w:jc w:val="both"/>
        <w:rPr>
          <w:rFonts w:cstheme="minorHAnsi"/>
        </w:rPr>
      </w:pPr>
    </w:p>
    <w:p w14:paraId="63AD0A33" w14:textId="4B89F68D" w:rsidR="00D132AA" w:rsidRDefault="00973C77" w:rsidP="00A90F56">
      <w:pPr>
        <w:pStyle w:val="Akapitzlist"/>
        <w:numPr>
          <w:ilvl w:val="2"/>
          <w:numId w:val="17"/>
        </w:numPr>
        <w:ind w:left="993" w:hanging="284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Kryterium „GWARANCJA”:</w:t>
      </w:r>
    </w:p>
    <w:p w14:paraId="006D40D1" w14:textId="77777777" w:rsidR="00D132AA" w:rsidRDefault="00973C77" w:rsidP="00A90F56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>znaczenie kryterium „Gwarancja” - 40% (0,4)</w:t>
      </w:r>
    </w:p>
    <w:p w14:paraId="7A5C2FD2" w14:textId="77777777" w:rsidR="00D132AA" w:rsidRDefault="00973C77" w:rsidP="00A90F56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>
        <w:rPr>
          <w:rFonts w:cstheme="minorHAnsi"/>
        </w:rPr>
        <w:t xml:space="preserve">opis sposobu oceny ofert dla kryterium „GWARANCJA” </w:t>
      </w:r>
    </w:p>
    <w:p w14:paraId="3DA37756" w14:textId="77777777" w:rsidR="00D132AA" w:rsidRDefault="00973C77" w:rsidP="00A90F56">
      <w:pPr>
        <w:pStyle w:val="Akapitzlist"/>
        <w:ind w:left="426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 48 miesięcy gwarancji - 0 punktów,</w:t>
      </w:r>
    </w:p>
    <w:p w14:paraId="432600C6" w14:textId="30FF4482" w:rsidR="00D132AA" w:rsidRDefault="00973C77" w:rsidP="00A90F56">
      <w:pPr>
        <w:pStyle w:val="Akapitzlist"/>
        <w:ind w:left="426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 od 49 do 60 </w:t>
      </w:r>
      <w:r w:rsidR="00B70CF3">
        <w:rPr>
          <w:rFonts w:cstheme="minorHAnsi"/>
        </w:rPr>
        <w:t>miesięcy gwarancji</w:t>
      </w:r>
      <w:r>
        <w:rPr>
          <w:rFonts w:cstheme="minorHAnsi"/>
        </w:rPr>
        <w:t xml:space="preserve"> - 5 punktów,</w:t>
      </w:r>
    </w:p>
    <w:p w14:paraId="23F8804D" w14:textId="4BF3FFD9" w:rsidR="00D132AA" w:rsidRDefault="00973C77" w:rsidP="00A90F56">
      <w:pPr>
        <w:pStyle w:val="Akapitzlist"/>
        <w:ind w:left="426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 xml:space="preserve"> od </w:t>
      </w:r>
      <w:r w:rsidR="00B70CF3">
        <w:rPr>
          <w:rFonts w:cstheme="minorHAnsi"/>
        </w:rPr>
        <w:t>61 do</w:t>
      </w:r>
      <w:r>
        <w:rPr>
          <w:rFonts w:cstheme="minorHAnsi"/>
        </w:rPr>
        <w:t xml:space="preserve"> 72 </w:t>
      </w:r>
      <w:r w:rsidR="00B70CF3">
        <w:rPr>
          <w:rFonts w:cstheme="minorHAnsi"/>
        </w:rPr>
        <w:t>miesięcy gwarancji</w:t>
      </w:r>
      <w:r>
        <w:rPr>
          <w:rFonts w:cstheme="minorHAnsi"/>
        </w:rPr>
        <w:t xml:space="preserve"> i więcej - 10 punktów.</w:t>
      </w:r>
    </w:p>
    <w:p w14:paraId="0F5ED1AF" w14:textId="77777777" w:rsidR="00D132AA" w:rsidRDefault="00D132AA" w:rsidP="00A90F56">
      <w:pPr>
        <w:pStyle w:val="Akapitzlist"/>
        <w:ind w:left="426"/>
        <w:jc w:val="both"/>
        <w:rPr>
          <w:rFonts w:cstheme="minorHAnsi"/>
        </w:rPr>
      </w:pPr>
    </w:p>
    <w:p w14:paraId="439ED388" w14:textId="77777777" w:rsidR="00D132AA" w:rsidRDefault="00973C77" w:rsidP="000B1FCD">
      <w:pPr>
        <w:pStyle w:val="Akapitzlist"/>
        <w:ind w:left="708" w:firstLine="708"/>
        <w:jc w:val="both"/>
        <w:rPr>
          <w:rFonts w:cstheme="minorHAnsi"/>
        </w:rPr>
      </w:pPr>
      <w:r>
        <w:rPr>
          <w:rFonts w:cstheme="minorHAnsi"/>
        </w:rPr>
        <w:t xml:space="preserve">Maksymalny oczekiwany przez Zmawiającego okres gwarancji wynosi 72 miesiące.   </w:t>
      </w:r>
    </w:p>
    <w:p w14:paraId="3F25E1A5" w14:textId="77777777" w:rsidR="00D132AA" w:rsidRDefault="00973C77" w:rsidP="000B1FCD">
      <w:pPr>
        <w:pStyle w:val="Akapitzlist"/>
        <w:ind w:left="1134" w:firstLine="282"/>
        <w:jc w:val="both"/>
        <w:rPr>
          <w:rFonts w:cstheme="minorHAnsi"/>
        </w:rPr>
      </w:pPr>
      <w:r>
        <w:rPr>
          <w:rFonts w:cstheme="minorHAnsi"/>
        </w:rPr>
        <w:t>Okres gwarancji powyżej 72 miesięcy nie będzie wyżej punktowany.</w:t>
      </w:r>
    </w:p>
    <w:p w14:paraId="2B4E5D98" w14:textId="77777777" w:rsidR="00D132AA" w:rsidRDefault="00D132AA" w:rsidP="00A90F56">
      <w:pPr>
        <w:pStyle w:val="Akapitzlist"/>
        <w:ind w:left="426"/>
        <w:jc w:val="both"/>
        <w:rPr>
          <w:rFonts w:cstheme="minorHAnsi"/>
        </w:rPr>
      </w:pPr>
    </w:p>
    <w:p w14:paraId="78696436" w14:textId="77777777" w:rsidR="00D132AA" w:rsidRDefault="00973C77" w:rsidP="000B1FCD">
      <w:pPr>
        <w:pStyle w:val="Akapitzlist"/>
        <w:ind w:left="852" w:firstLine="564"/>
        <w:jc w:val="both"/>
        <w:rPr>
          <w:rFonts w:cstheme="minorHAnsi"/>
        </w:rPr>
      </w:pPr>
      <w:r>
        <w:rPr>
          <w:rFonts w:cstheme="minorHAnsi"/>
        </w:rPr>
        <w:t>Otrzymane punkty w kryterium zostaną podstawione do wzoru:</w:t>
      </w:r>
    </w:p>
    <w:p w14:paraId="06A2A22F" w14:textId="6AAB12C1" w:rsidR="00D132AA" w:rsidRPr="00A90F56" w:rsidRDefault="00973C77" w:rsidP="00A90F56">
      <w:pPr>
        <w:pStyle w:val="Akapitzlist"/>
        <w:ind w:left="426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 </w:t>
      </w:r>
      <w:r w:rsidR="00A90F56">
        <w:rPr>
          <w:rFonts w:cstheme="minorHAnsi"/>
        </w:rPr>
        <w:tab/>
      </w:r>
      <w:r w:rsidR="000B1FCD">
        <w:rPr>
          <w:rFonts w:cstheme="minorHAnsi"/>
        </w:rPr>
        <w:tab/>
      </w:r>
      <w:r w:rsidR="00B70CF3" w:rsidRPr="00A90F56">
        <w:rPr>
          <w:rFonts w:cstheme="minorHAnsi"/>
          <w:b/>
          <w:bCs/>
        </w:rPr>
        <w:t>G =</w:t>
      </w:r>
      <w:r w:rsidRPr="00A90F56">
        <w:rPr>
          <w:rFonts w:cstheme="minorHAnsi"/>
          <w:b/>
          <w:bCs/>
        </w:rPr>
        <w:t xml:space="preserve"> (Go/</w:t>
      </w:r>
      <w:proofErr w:type="spellStart"/>
      <w:r w:rsidRPr="00A90F56">
        <w:rPr>
          <w:rFonts w:cstheme="minorHAnsi"/>
          <w:b/>
          <w:bCs/>
        </w:rPr>
        <w:t>Gmax</w:t>
      </w:r>
      <w:proofErr w:type="spellEnd"/>
      <w:r w:rsidRPr="00A90F56">
        <w:rPr>
          <w:rFonts w:cstheme="minorHAnsi"/>
          <w:b/>
          <w:bCs/>
        </w:rPr>
        <w:t>.) x 0,4 x 100 pkt</w:t>
      </w:r>
    </w:p>
    <w:p w14:paraId="28349627" w14:textId="77777777" w:rsidR="00D132AA" w:rsidRDefault="00973C77" w:rsidP="000B1FCD">
      <w:pPr>
        <w:pStyle w:val="Akapitzlist"/>
        <w:ind w:left="1134" w:firstLine="282"/>
        <w:jc w:val="both"/>
        <w:rPr>
          <w:rFonts w:cstheme="minorHAnsi"/>
        </w:rPr>
      </w:pPr>
      <w:r>
        <w:rPr>
          <w:rFonts w:cstheme="minorHAnsi"/>
        </w:rPr>
        <w:t>gdzie:</w:t>
      </w:r>
    </w:p>
    <w:p w14:paraId="04712F09" w14:textId="3D456C57" w:rsidR="00D132AA" w:rsidRDefault="00B70CF3" w:rsidP="000B1FCD">
      <w:pPr>
        <w:pStyle w:val="Akapitzlist"/>
        <w:ind w:left="852" w:firstLine="564"/>
        <w:jc w:val="both"/>
        <w:rPr>
          <w:rFonts w:cstheme="minorHAnsi"/>
        </w:rPr>
      </w:pPr>
      <w:r>
        <w:rPr>
          <w:rFonts w:cstheme="minorHAnsi"/>
        </w:rPr>
        <w:lastRenderedPageBreak/>
        <w:t>G -</w:t>
      </w:r>
      <w:r w:rsidR="00973C77">
        <w:rPr>
          <w:rFonts w:cstheme="minorHAnsi"/>
        </w:rPr>
        <w:t xml:space="preserve"> liczba uzyskanych punktów dla kryterium „gwarancja” ocenianej oferty</w:t>
      </w:r>
    </w:p>
    <w:p w14:paraId="05263015" w14:textId="18B2A22B" w:rsidR="00D132AA" w:rsidRDefault="00973C77" w:rsidP="000B1FCD">
      <w:pPr>
        <w:pStyle w:val="Akapitzlist"/>
        <w:ind w:left="1416"/>
        <w:jc w:val="both"/>
        <w:rPr>
          <w:rFonts w:cstheme="minorHAnsi"/>
        </w:rPr>
      </w:pPr>
      <w:proofErr w:type="spellStart"/>
      <w:r>
        <w:rPr>
          <w:rFonts w:cstheme="minorHAnsi"/>
        </w:rPr>
        <w:t>Gmax</w:t>
      </w:r>
      <w:proofErr w:type="spellEnd"/>
      <w:r>
        <w:rPr>
          <w:rFonts w:cstheme="minorHAnsi"/>
        </w:rPr>
        <w:t>.</w:t>
      </w:r>
      <w:r w:rsidR="00C26C88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C26C88">
        <w:rPr>
          <w:rFonts w:cstheme="minorHAnsi"/>
        </w:rPr>
        <w:t xml:space="preserve"> </w:t>
      </w:r>
      <w:r>
        <w:rPr>
          <w:rFonts w:cstheme="minorHAnsi"/>
        </w:rPr>
        <w:t>najwyższa przewidziana liczba punktów dla kryterium „</w:t>
      </w:r>
      <w:r w:rsidR="00EA509B">
        <w:rPr>
          <w:rFonts w:cstheme="minorHAnsi"/>
        </w:rPr>
        <w:t>gwarancja”</w:t>
      </w:r>
      <w:r>
        <w:rPr>
          <w:rFonts w:cstheme="minorHAnsi"/>
        </w:rPr>
        <w:t xml:space="preserve"> z</w:t>
      </w:r>
      <w:r w:rsidR="002C53E9">
        <w:rPr>
          <w:rFonts w:cstheme="minorHAnsi"/>
        </w:rPr>
        <w:t> </w:t>
      </w:r>
      <w:r>
        <w:rPr>
          <w:rFonts w:cstheme="minorHAnsi"/>
        </w:rPr>
        <w:t>największą</w:t>
      </w:r>
      <w:r w:rsidR="00EC5B44">
        <w:rPr>
          <w:rFonts w:cstheme="minorHAnsi"/>
        </w:rPr>
        <w:t xml:space="preserve"> ilością punktów</w:t>
      </w:r>
      <w:r>
        <w:rPr>
          <w:rFonts w:cstheme="minorHAnsi"/>
        </w:rPr>
        <w:t xml:space="preserve"> z badanych ofert </w:t>
      </w:r>
    </w:p>
    <w:p w14:paraId="250F57DE" w14:textId="38982B11" w:rsidR="00D132AA" w:rsidRDefault="00973C77" w:rsidP="000B1FCD">
      <w:pPr>
        <w:pStyle w:val="Akapitzlist"/>
        <w:ind w:left="1134" w:firstLine="282"/>
        <w:jc w:val="both"/>
        <w:rPr>
          <w:rFonts w:cstheme="minorHAnsi"/>
        </w:rPr>
      </w:pPr>
      <w:r>
        <w:rPr>
          <w:rFonts w:cstheme="minorHAnsi"/>
        </w:rPr>
        <w:t xml:space="preserve">Go </w:t>
      </w:r>
      <w:r w:rsidR="00B70CF3">
        <w:rPr>
          <w:rFonts w:cstheme="minorHAnsi"/>
        </w:rPr>
        <w:t>– liczba</w:t>
      </w:r>
      <w:r>
        <w:rPr>
          <w:rFonts w:cstheme="minorHAnsi"/>
        </w:rPr>
        <w:t xml:space="preserve"> punktów dla kryterium: „gwarancja” oferty ocenianej </w:t>
      </w:r>
    </w:p>
    <w:p w14:paraId="58AAA901" w14:textId="77777777" w:rsidR="00D132AA" w:rsidRDefault="00D132AA" w:rsidP="00A90F56">
      <w:pPr>
        <w:pStyle w:val="Akapitzlist"/>
        <w:ind w:left="426"/>
        <w:jc w:val="both"/>
        <w:rPr>
          <w:rFonts w:cstheme="minorHAnsi"/>
        </w:rPr>
      </w:pPr>
    </w:p>
    <w:p w14:paraId="26225E89" w14:textId="7A33ECC2" w:rsidR="00D132AA" w:rsidRDefault="00973C77" w:rsidP="00A90F56">
      <w:pPr>
        <w:pStyle w:val="Akapitzlist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Otrzymane punkty z dwóch kryteriów zostaną zsumowane. </w:t>
      </w:r>
    </w:p>
    <w:p w14:paraId="350EC5FD" w14:textId="77777777" w:rsidR="00A90F56" w:rsidRDefault="00A90F56" w:rsidP="00A90F56">
      <w:pPr>
        <w:pStyle w:val="Akapitzlist"/>
        <w:ind w:left="426"/>
        <w:jc w:val="both"/>
        <w:rPr>
          <w:rFonts w:cstheme="minorHAnsi"/>
        </w:rPr>
      </w:pPr>
    </w:p>
    <w:p w14:paraId="4DA56953" w14:textId="77777777" w:rsidR="00EC5B44" w:rsidRDefault="00EC5B44" w:rsidP="00A90F56">
      <w:pPr>
        <w:pStyle w:val="Akapitzlist"/>
        <w:numPr>
          <w:ilvl w:val="1"/>
          <w:numId w:val="17"/>
        </w:numPr>
        <w:ind w:left="714" w:hanging="357"/>
        <w:jc w:val="both"/>
        <w:rPr>
          <w:rFonts w:cstheme="minorHAnsi"/>
        </w:rPr>
      </w:pPr>
      <w:r w:rsidRPr="00EC5B44">
        <w:rPr>
          <w:rFonts w:cstheme="minorHAnsi"/>
        </w:rPr>
        <w:t>J</w:t>
      </w:r>
      <w:r w:rsidR="00973C77" w:rsidRPr="00EC5B44">
        <w:rPr>
          <w:rFonts w:cstheme="minorHAnsi"/>
        </w:rPr>
        <w:t>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5CA0507C" w14:textId="77777777" w:rsidR="00EC5B44" w:rsidRDefault="00973C77" w:rsidP="00A90F56">
      <w:pPr>
        <w:pStyle w:val="Akapitzlist"/>
        <w:numPr>
          <w:ilvl w:val="1"/>
          <w:numId w:val="17"/>
        </w:numPr>
        <w:ind w:left="714" w:hanging="357"/>
        <w:jc w:val="both"/>
        <w:rPr>
          <w:rFonts w:cstheme="minorHAnsi"/>
        </w:rPr>
      </w:pPr>
      <w:r w:rsidRPr="00EC5B44">
        <w:rPr>
          <w:rFonts w:cstheme="minorHAnsi"/>
        </w:rPr>
        <w:t>Jeżeli nie można dokonać wyboru w sposób, o którym mowa w pkt. 2 Zamawiający wzywa Wykonawców, którzy złożyli te oferty, do złożenia w terminie określonym przez Zamawiającego ofert dodatkowych zawierających nową cenę.</w:t>
      </w:r>
    </w:p>
    <w:p w14:paraId="3F509379" w14:textId="4A186381" w:rsidR="00D132AA" w:rsidRPr="00EC5B44" w:rsidRDefault="00973C77" w:rsidP="00A90F56">
      <w:pPr>
        <w:pStyle w:val="Akapitzlist"/>
        <w:numPr>
          <w:ilvl w:val="1"/>
          <w:numId w:val="17"/>
        </w:numPr>
        <w:ind w:left="714" w:hanging="357"/>
        <w:jc w:val="both"/>
        <w:rPr>
          <w:rFonts w:cstheme="minorHAnsi"/>
        </w:rPr>
      </w:pPr>
      <w:r w:rsidRPr="00EC5B44">
        <w:rPr>
          <w:rFonts w:cstheme="minorHAnsi"/>
        </w:rPr>
        <w:t>Wykonawcy składając oferty dodatkowe, nie mogą oferować cen wyższych niż zaoferowane</w:t>
      </w:r>
      <w:r w:rsidR="00263F1B">
        <w:rPr>
          <w:rFonts w:cstheme="minorHAnsi"/>
        </w:rPr>
        <w:t xml:space="preserve"> </w:t>
      </w:r>
      <w:r w:rsidRPr="00EC5B44">
        <w:rPr>
          <w:rFonts w:cstheme="minorHAnsi"/>
        </w:rPr>
        <w:t>w</w:t>
      </w:r>
      <w:r w:rsidR="002C53E9" w:rsidRPr="00EC5B44">
        <w:rPr>
          <w:rFonts w:cstheme="minorHAnsi"/>
        </w:rPr>
        <w:t> </w:t>
      </w:r>
      <w:r w:rsidRPr="00EC5B44">
        <w:rPr>
          <w:rFonts w:cstheme="minorHAnsi"/>
        </w:rPr>
        <w:t>uprzednio złożonych przez nich ofertach.</w:t>
      </w:r>
    </w:p>
    <w:p w14:paraId="6D8D4862" w14:textId="729F2265" w:rsidR="00D132AA" w:rsidRPr="00BF773F" w:rsidRDefault="00973C77" w:rsidP="002C53E9">
      <w:pPr>
        <w:pStyle w:val="Nagwek1"/>
        <w:numPr>
          <w:ilvl w:val="0"/>
          <w:numId w:val="17"/>
        </w:numPr>
      </w:pPr>
      <w:r w:rsidRPr="00BF773F">
        <w:t>TERMIN</w:t>
      </w:r>
      <w:r w:rsidR="00EE4F33">
        <w:t>,</w:t>
      </w:r>
      <w:r w:rsidR="00BF773F">
        <w:t xml:space="preserve"> OPIS SPOSOBU PRZY</w:t>
      </w:r>
      <w:r w:rsidR="002C53E9">
        <w:t>GOTOWANIA</w:t>
      </w:r>
      <w:r w:rsidRPr="00BF773F">
        <w:t xml:space="preserve"> I SKŁADANIA OFERT</w:t>
      </w:r>
    </w:p>
    <w:p w14:paraId="601ED002" w14:textId="48795F1A" w:rsidR="00D132AA" w:rsidRDefault="00973C77" w:rsidP="00A90F56">
      <w:pPr>
        <w:pStyle w:val="Akapitzlist"/>
        <w:numPr>
          <w:ilvl w:val="0"/>
          <w:numId w:val="6"/>
        </w:numPr>
        <w:ind w:left="714" w:hanging="357"/>
        <w:jc w:val="both"/>
      </w:pPr>
      <w:r>
        <w:t xml:space="preserve">Oferty złożyć należy w terminie do dnia </w:t>
      </w:r>
      <w:r w:rsidR="002C53E9" w:rsidRPr="002C53E9">
        <w:rPr>
          <w:b/>
          <w:bCs/>
        </w:rPr>
        <w:t>0</w:t>
      </w:r>
      <w:r w:rsidR="00EE4F33">
        <w:rPr>
          <w:b/>
          <w:bCs/>
        </w:rPr>
        <w:t>7</w:t>
      </w:r>
      <w:r w:rsidR="002C53E9" w:rsidRPr="002C53E9">
        <w:rPr>
          <w:b/>
          <w:bCs/>
        </w:rPr>
        <w:t xml:space="preserve"> </w:t>
      </w:r>
      <w:r w:rsidR="00EE4F33">
        <w:rPr>
          <w:b/>
          <w:bCs/>
        </w:rPr>
        <w:t>listopada</w:t>
      </w:r>
      <w:r w:rsidRPr="002C53E9">
        <w:rPr>
          <w:b/>
          <w:bCs/>
        </w:rPr>
        <w:t xml:space="preserve"> 2024 r.</w:t>
      </w:r>
    </w:p>
    <w:p w14:paraId="2A5745E1" w14:textId="35BDF4DD" w:rsidR="006F4122" w:rsidRDefault="00973C77" w:rsidP="00A90F56">
      <w:pPr>
        <w:pStyle w:val="Akapitzlist"/>
        <w:numPr>
          <w:ilvl w:val="0"/>
          <w:numId w:val="6"/>
        </w:numPr>
        <w:jc w:val="both"/>
      </w:pPr>
      <w:r>
        <w:t>Wykonawca może złożyć tylko jedną ofertę.</w:t>
      </w:r>
    </w:p>
    <w:p w14:paraId="4F78EEDB" w14:textId="5F0EAE97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>Oferta powinna być sporządzona w języku polskim. Każdy dokument składający się na ofertę powinien być czytelny. W przypadku załączenia dokumentów sporządzonych w innym języku niż dopuszczony w niniejszym postępowaniu, Wykonawca zobowiązany jest załączyć tłumaczenie na język polski.</w:t>
      </w:r>
    </w:p>
    <w:p w14:paraId="087C334F" w14:textId="2CD54026" w:rsidR="00BF773F" w:rsidRPr="00BF773F" w:rsidRDefault="00BF773F" w:rsidP="00A90F56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BF773F">
        <w:rPr>
          <w:rFonts w:cstheme="minorHAnsi"/>
        </w:rPr>
        <w:t xml:space="preserve">Treść oferty musi odpowiadać treści zapytania ofertowego z dnia </w:t>
      </w:r>
      <w:r w:rsidR="00EE4F33">
        <w:rPr>
          <w:rFonts w:cstheme="minorHAnsi"/>
        </w:rPr>
        <w:t>31</w:t>
      </w:r>
      <w:r w:rsidRPr="00BF773F">
        <w:rPr>
          <w:rFonts w:cstheme="minorHAnsi"/>
        </w:rPr>
        <w:t>.</w:t>
      </w:r>
      <w:r w:rsidR="00EE4F33">
        <w:rPr>
          <w:rFonts w:cstheme="minorHAnsi"/>
        </w:rPr>
        <w:t>10</w:t>
      </w:r>
      <w:r w:rsidRPr="00BF773F">
        <w:rPr>
          <w:rFonts w:cstheme="minorHAnsi"/>
        </w:rPr>
        <w:t>.2024 r.</w:t>
      </w:r>
    </w:p>
    <w:p w14:paraId="1FC925C8" w14:textId="67F8DBD3" w:rsidR="00BF773F" w:rsidRPr="00BF773F" w:rsidRDefault="00BF773F" w:rsidP="00A90F56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BF773F">
        <w:rPr>
          <w:rFonts w:cstheme="minorHAnsi"/>
        </w:rPr>
        <w:t xml:space="preserve">Ofertę składa się na Formularzu Ofertowym – zgodnie z </w:t>
      </w:r>
      <w:r w:rsidRPr="00877118">
        <w:rPr>
          <w:rFonts w:cstheme="minorHAnsi"/>
          <w:b/>
          <w:bCs/>
        </w:rPr>
        <w:t xml:space="preserve">Załącznikiem </w:t>
      </w:r>
      <w:r w:rsidR="00877118">
        <w:rPr>
          <w:rFonts w:cstheme="minorHAnsi"/>
          <w:b/>
          <w:bCs/>
        </w:rPr>
        <w:t>n</w:t>
      </w:r>
      <w:r w:rsidRPr="00877118">
        <w:rPr>
          <w:rFonts w:cstheme="minorHAnsi"/>
          <w:b/>
          <w:bCs/>
        </w:rPr>
        <w:t xml:space="preserve">r </w:t>
      </w:r>
      <w:r w:rsidR="00877118" w:rsidRPr="00877118">
        <w:rPr>
          <w:rFonts w:cstheme="minorHAnsi"/>
          <w:b/>
          <w:bCs/>
        </w:rPr>
        <w:t>2</w:t>
      </w:r>
      <w:r w:rsidRPr="00BF773F">
        <w:rPr>
          <w:rFonts w:cstheme="minorHAnsi"/>
        </w:rPr>
        <w:t xml:space="preserve"> do zapytania ofertowego z dnia </w:t>
      </w:r>
      <w:r w:rsidR="00EE4F33">
        <w:rPr>
          <w:rFonts w:cstheme="minorHAnsi"/>
        </w:rPr>
        <w:t>31.10.</w:t>
      </w:r>
      <w:r w:rsidRPr="00BF773F">
        <w:rPr>
          <w:rFonts w:cstheme="minorHAnsi"/>
        </w:rPr>
        <w:t>2024 r.</w:t>
      </w:r>
    </w:p>
    <w:p w14:paraId="02BB3975" w14:textId="77777777" w:rsidR="00BF773F" w:rsidRPr="00BF773F" w:rsidRDefault="00BF773F" w:rsidP="00A90F56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BF773F">
        <w:rPr>
          <w:rFonts w:cstheme="minorHAnsi"/>
        </w:rPr>
        <w:t>Wraz z ofertą Wykonawca jest zobowiązany złożyć:</w:t>
      </w:r>
    </w:p>
    <w:p w14:paraId="63980223" w14:textId="77777777" w:rsidR="00BF773F" w:rsidRDefault="00BF773F" w:rsidP="00A90F56">
      <w:pPr>
        <w:pStyle w:val="Akapitzlist"/>
        <w:numPr>
          <w:ilvl w:val="2"/>
          <w:numId w:val="18"/>
        </w:numPr>
        <w:ind w:left="993" w:hanging="317"/>
        <w:jc w:val="both"/>
        <w:rPr>
          <w:rFonts w:cstheme="minorHAnsi"/>
        </w:rPr>
      </w:pPr>
      <w:r w:rsidRPr="00BF773F">
        <w:rPr>
          <w:rFonts w:cstheme="minorHAnsi"/>
        </w:rPr>
        <w:t>Oświadczenie o braku powiązań kapitałowych i osobowych.</w:t>
      </w:r>
    </w:p>
    <w:p w14:paraId="5996E13E" w14:textId="77777777" w:rsidR="00BF773F" w:rsidRPr="00BF773F" w:rsidRDefault="00BF773F" w:rsidP="00A90F56">
      <w:pPr>
        <w:pStyle w:val="Akapitzlist"/>
        <w:numPr>
          <w:ilvl w:val="2"/>
          <w:numId w:val="18"/>
        </w:numPr>
        <w:ind w:left="993" w:hanging="317"/>
        <w:jc w:val="both"/>
        <w:rPr>
          <w:rFonts w:cstheme="minorHAnsi"/>
        </w:rPr>
      </w:pPr>
      <w:r w:rsidRPr="00BF773F">
        <w:rPr>
          <w:rFonts w:cstheme="minorHAnsi"/>
        </w:rPr>
        <w:t xml:space="preserve">Oświadczenie o braku podstaw do wykluczenia z postępowania. </w:t>
      </w:r>
    </w:p>
    <w:p w14:paraId="514CC05B" w14:textId="0F348557" w:rsidR="00BF773F" w:rsidRDefault="00EE4F33" w:rsidP="00A90F56">
      <w:pPr>
        <w:pStyle w:val="Akapitzlist"/>
        <w:numPr>
          <w:ilvl w:val="2"/>
          <w:numId w:val="18"/>
        </w:numPr>
        <w:ind w:left="993" w:hanging="317"/>
        <w:jc w:val="both"/>
        <w:rPr>
          <w:rFonts w:cstheme="minorHAnsi"/>
        </w:rPr>
      </w:pPr>
      <w:r>
        <w:rPr>
          <w:rFonts w:cstheme="minorHAnsi"/>
        </w:rPr>
        <w:t>P</w:t>
      </w:r>
      <w:r w:rsidR="00BF773F" w:rsidRPr="00BF773F">
        <w:rPr>
          <w:rFonts w:cstheme="minorHAnsi"/>
        </w:rPr>
        <w:t>olisę OC.</w:t>
      </w:r>
    </w:p>
    <w:p w14:paraId="3433D670" w14:textId="4681BDD3" w:rsidR="00F1159F" w:rsidRPr="00BF773F" w:rsidRDefault="00F1159F" w:rsidP="00A90F56">
      <w:pPr>
        <w:pStyle w:val="Akapitzlist"/>
        <w:numPr>
          <w:ilvl w:val="2"/>
          <w:numId w:val="18"/>
        </w:numPr>
        <w:ind w:left="993" w:hanging="317"/>
        <w:jc w:val="both"/>
        <w:rPr>
          <w:rFonts w:cstheme="minorHAnsi"/>
        </w:rPr>
      </w:pPr>
      <w:r>
        <w:rPr>
          <w:rFonts w:cstheme="minorHAnsi"/>
        </w:rPr>
        <w:t>Kosztorys</w:t>
      </w:r>
      <w:r w:rsidR="007F2DDC">
        <w:rPr>
          <w:rFonts w:cstheme="minorHAnsi"/>
        </w:rPr>
        <w:t>/kalkulację</w:t>
      </w:r>
      <w:r>
        <w:rPr>
          <w:rFonts w:cstheme="minorHAnsi"/>
        </w:rPr>
        <w:t xml:space="preserve"> </w:t>
      </w:r>
      <w:r w:rsidR="00EE4F33">
        <w:rPr>
          <w:rFonts w:cstheme="minorHAnsi"/>
        </w:rPr>
        <w:t>odpowiadający</w:t>
      </w:r>
      <w:r w:rsidR="007F2DDC">
        <w:rPr>
          <w:rFonts w:cstheme="minorHAnsi"/>
        </w:rPr>
        <w:t>/</w:t>
      </w:r>
      <w:proofErr w:type="spellStart"/>
      <w:r w:rsidR="007F2DDC">
        <w:rPr>
          <w:rFonts w:cstheme="minorHAnsi"/>
        </w:rPr>
        <w:t>cą</w:t>
      </w:r>
      <w:proofErr w:type="spellEnd"/>
      <w:r w:rsidR="00EE4F33">
        <w:rPr>
          <w:rFonts w:cstheme="minorHAnsi"/>
        </w:rPr>
        <w:t xml:space="preserve"> zakresowi zawartemu w </w:t>
      </w:r>
      <w:r w:rsidR="00EE4F33" w:rsidRPr="00EE4F33">
        <w:rPr>
          <w:rFonts w:cstheme="minorHAnsi"/>
          <w:b/>
          <w:bCs/>
          <w:i/>
          <w:iCs/>
        </w:rPr>
        <w:t>Specyfikacji techniczn</w:t>
      </w:r>
      <w:r w:rsidR="00EE4F33">
        <w:rPr>
          <w:rFonts w:cstheme="minorHAnsi"/>
          <w:b/>
          <w:bCs/>
          <w:i/>
          <w:iCs/>
        </w:rPr>
        <w:t>ej</w:t>
      </w:r>
      <w:r w:rsidR="00EE4F33" w:rsidRPr="00EE4F33">
        <w:rPr>
          <w:rFonts w:cstheme="minorHAnsi"/>
          <w:b/>
          <w:bCs/>
          <w:i/>
          <w:iCs/>
        </w:rPr>
        <w:t xml:space="preserve"> linii technologicznej do produkcji piwa oraz linii do butelkowania</w:t>
      </w:r>
      <w:r w:rsidR="00EE4F33" w:rsidRPr="00EE4F33">
        <w:rPr>
          <w:rFonts w:cstheme="minorHAnsi"/>
        </w:rPr>
        <w:t xml:space="preserve"> </w:t>
      </w:r>
      <w:r w:rsidR="00EE4F33">
        <w:rPr>
          <w:rFonts w:cstheme="minorHAnsi"/>
        </w:rPr>
        <w:t>(</w:t>
      </w:r>
      <w:r w:rsidR="00EE4F33" w:rsidRPr="00EE4F33">
        <w:rPr>
          <w:rFonts w:cstheme="minorHAnsi"/>
          <w:b/>
          <w:bCs/>
        </w:rPr>
        <w:t>Załącznik nr 1</w:t>
      </w:r>
      <w:r w:rsidR="00EE4F33" w:rsidRPr="00EE4F33">
        <w:rPr>
          <w:rFonts w:cstheme="minorHAnsi"/>
        </w:rPr>
        <w:t xml:space="preserve"> do zapytania ofertowego</w:t>
      </w:r>
      <w:r w:rsidR="00EE4F33">
        <w:rPr>
          <w:rFonts w:cstheme="minorHAnsi"/>
        </w:rPr>
        <w:t>).</w:t>
      </w:r>
    </w:p>
    <w:p w14:paraId="6D70376D" w14:textId="62BAF093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>Oferty należy składać za pośrednictwem Bazy konkurencyjności.</w:t>
      </w:r>
    </w:p>
    <w:p w14:paraId="050B31B5" w14:textId="77777777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 xml:space="preserve">Uzyskanie dostępu do Bazy konkurencyjności wymaga rejestracji polegającej na uzupełnieniu formularza i kliknięciu na link aktywacyjny wysłany na adres mailowy podany w formularzu.    </w:t>
      </w:r>
    </w:p>
    <w:p w14:paraId="197EAFD1" w14:textId="67D398D0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>O terminie złożenia oferty decyduje czas ostatecznego wysłania oferty, a nie czas rozpoczęcia jej wprowadzenia.</w:t>
      </w:r>
    </w:p>
    <w:p w14:paraId="2C2BAE35" w14:textId="77777777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>Oferta złożona po terminie zostanie odrzucona.</w:t>
      </w:r>
    </w:p>
    <w:p w14:paraId="22C6F375" w14:textId="77777777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 xml:space="preserve">Aktualna wersja systemu Baza Konkurencyjności 2021 (BK2021 lub „nowa” Baza). Znajduje się pod adresem internetowym: </w:t>
      </w:r>
      <w:hyperlink r:id="rId10">
        <w:r>
          <w:rPr>
            <w:rStyle w:val="Hipercze"/>
          </w:rPr>
          <w:t>https://bazakonkurencyjnosci.funduszeeuropejskie.gov.pl/</w:t>
        </w:r>
      </w:hyperlink>
      <w:r>
        <w:t xml:space="preserve"> .</w:t>
      </w:r>
    </w:p>
    <w:p w14:paraId="45769EEE" w14:textId="77777777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 xml:space="preserve">Regulaminem Bazy Konkurencyjności Funduszy Europejskich znajduje się pod adresem internetowym: </w:t>
      </w:r>
      <w:hyperlink r:id="rId11">
        <w:r>
          <w:rPr>
            <w:rStyle w:val="Hipercze"/>
          </w:rPr>
          <w:t>https://bazakonkurencyjnosci.funduszeeuropejskie.gov.pl/regulamin</w:t>
        </w:r>
      </w:hyperlink>
      <w:r>
        <w:t xml:space="preserve">   </w:t>
      </w:r>
    </w:p>
    <w:p w14:paraId="72BBD89D" w14:textId="777D54B3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 xml:space="preserve"> Informacje dotyczące</w:t>
      </w:r>
      <w:r w:rsidR="00DB5462">
        <w:t xml:space="preserve"> </w:t>
      </w:r>
      <w:r>
        <w:t xml:space="preserve">działania Bazy Konkurencyjności umieszczone są pod linkiem: </w:t>
      </w:r>
      <w:hyperlink r:id="rId12">
        <w:r>
          <w:rPr>
            <w:rStyle w:val="Hipercze"/>
          </w:rPr>
          <w:t>https://bazakonkurencyjnosci.funduszeeuropejskie.gov.pl/pomoc</w:t>
        </w:r>
      </w:hyperlink>
      <w:r>
        <w:t xml:space="preserve"> </w:t>
      </w:r>
    </w:p>
    <w:p w14:paraId="2B71FC2B" w14:textId="31991A96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lastRenderedPageBreak/>
        <w:t xml:space="preserve">Składanie ofert oraz wymiana informacji między Zamawiającym, a Wykonawcą (zadawanie pytań i udzielanie odpowiedzi) oraz przekazywanie dokumentów i </w:t>
      </w:r>
      <w:r w:rsidR="002C53E9">
        <w:t>oświadczeń odbywa</w:t>
      </w:r>
      <w:r>
        <w:t xml:space="preserve"> się </w:t>
      </w:r>
      <w:r w:rsidR="002C53E9">
        <w:t>pisemnie wyłącznie</w:t>
      </w:r>
      <w:r>
        <w:t xml:space="preserve"> poprzez BK2021</w:t>
      </w:r>
      <w:r>
        <w:rPr>
          <w:b/>
          <w:bCs/>
        </w:rPr>
        <w:t xml:space="preserve">. </w:t>
      </w:r>
    </w:p>
    <w:p w14:paraId="4EE3BE49" w14:textId="042D855A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 xml:space="preserve">W przypadku zawieszenia działalności BK2021 potwierdzonego odpowiednim </w:t>
      </w:r>
      <w:r w:rsidR="00263F1B">
        <w:t>komunikatem w </w:t>
      </w:r>
      <w:r>
        <w:t>BK2021, Zamawiający dopuszcza komunikację za pomocą poczty elektronicznej na adres</w:t>
      </w:r>
      <w:r w:rsidR="00263F1B">
        <w:t xml:space="preserve"> </w:t>
      </w:r>
      <w:r>
        <w:t>e</w:t>
      </w:r>
      <w:r w:rsidR="00263F1B">
        <w:t>- </w:t>
      </w:r>
      <w:r>
        <w:t xml:space="preserve">mail: </w:t>
      </w:r>
      <w:hyperlink r:id="rId13">
        <w:r>
          <w:rPr>
            <w:rStyle w:val="Hipercze"/>
          </w:rPr>
          <w:t>inwestycje@libertador.pl</w:t>
        </w:r>
      </w:hyperlink>
      <w:r>
        <w:t xml:space="preserve"> </w:t>
      </w:r>
    </w:p>
    <w:p w14:paraId="1207C6FF" w14:textId="38AC2F70" w:rsidR="00D132AA" w:rsidRDefault="00973C77" w:rsidP="00A90F56">
      <w:pPr>
        <w:pStyle w:val="Akapitzlist"/>
        <w:numPr>
          <w:ilvl w:val="0"/>
          <w:numId w:val="6"/>
        </w:numPr>
        <w:jc w:val="both"/>
        <w:rPr>
          <w:color w:val="C00000"/>
        </w:rPr>
      </w:pPr>
      <w:r>
        <w:t>Ofertę należy opatrzyć: kwalifikowanym podpisem elektronicznym lub podpisem zaufanym lub podpisem osobistym</w:t>
      </w:r>
      <w:r>
        <w:rPr>
          <w:color w:val="C00000"/>
        </w:rPr>
        <w:t xml:space="preserve">. </w:t>
      </w:r>
    </w:p>
    <w:p w14:paraId="4F69DB42" w14:textId="629F95F3" w:rsidR="00D132AA" w:rsidRDefault="00973C77" w:rsidP="00A90F56">
      <w:pPr>
        <w:pStyle w:val="Akapitzlist"/>
        <w:numPr>
          <w:ilvl w:val="0"/>
          <w:numId w:val="6"/>
        </w:numPr>
        <w:jc w:val="both"/>
        <w:rPr>
          <w:color w:val="C00000"/>
        </w:rPr>
      </w:pPr>
      <w:r>
        <w:t xml:space="preserve">Ofertę złożyć należy na formularzu </w:t>
      </w:r>
      <w:r w:rsidRPr="00877118">
        <w:t xml:space="preserve">stanowiącym </w:t>
      </w:r>
      <w:r w:rsidRPr="00877118">
        <w:rPr>
          <w:b/>
          <w:bCs/>
        </w:rPr>
        <w:t xml:space="preserve">Załącznik </w:t>
      </w:r>
      <w:r w:rsidR="00877118">
        <w:rPr>
          <w:b/>
          <w:bCs/>
        </w:rPr>
        <w:t>nr 2</w:t>
      </w:r>
      <w:r w:rsidRPr="00877118">
        <w:t xml:space="preserve"> do</w:t>
      </w:r>
      <w:r>
        <w:t xml:space="preserve"> zapytania ofertowego.</w:t>
      </w:r>
    </w:p>
    <w:p w14:paraId="2B0D5CC7" w14:textId="70E0A84E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>Jeżeli w imieniu Wykonawcy działa osoba, której umocowanie do jego reprezentowania nie wynika z odpisu lub informacji z Krajowego Rejestru Sądowego, Centralnej Ewidencji</w:t>
      </w:r>
      <w:r w:rsidR="00263F1B">
        <w:t xml:space="preserve"> </w:t>
      </w:r>
      <w:r>
        <w:t>i</w:t>
      </w:r>
      <w:r w:rsidR="00263F1B">
        <w:t> </w:t>
      </w:r>
      <w:r>
        <w:t>Informacji o Działalności Gospodarczej lub innego właściwego rejestru, Zamawiający żąda od Wykonawcy pełnomocnictwa lub innego dokumentu potwierdzającego umocowanie do reprezentowania Wykonawcy.</w:t>
      </w:r>
    </w:p>
    <w:p w14:paraId="3AAD040D" w14:textId="705B8143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>Wykonawcy składający ofertę wspólną ustanawiają pełnomocnika do reprezentowania ich w</w:t>
      </w:r>
      <w:r w:rsidR="00263F1B">
        <w:t> </w:t>
      </w:r>
      <w:r>
        <w:t>postępowaniu o udzielenie zamówienia albo reprezentowania w postępowaniu i zawarcia umowy.</w:t>
      </w:r>
    </w:p>
    <w:p w14:paraId="1A8144AF" w14:textId="77777777" w:rsidR="00D132AA" w:rsidRDefault="00973C77" w:rsidP="00A90F56">
      <w:pPr>
        <w:pStyle w:val="Akapitzlist"/>
        <w:numPr>
          <w:ilvl w:val="0"/>
          <w:numId w:val="6"/>
        </w:numPr>
        <w:jc w:val="both"/>
      </w:pPr>
      <w:r>
        <w:t>Do oferty wspólnej Wykonawcy dołączają pełnomocnictwo.</w:t>
      </w:r>
    </w:p>
    <w:p w14:paraId="66780FC8" w14:textId="77777777" w:rsidR="00263F1B" w:rsidRDefault="00973C77" w:rsidP="00A90F56">
      <w:pPr>
        <w:pStyle w:val="Akapitzlist"/>
        <w:numPr>
          <w:ilvl w:val="0"/>
          <w:numId w:val="6"/>
        </w:numPr>
        <w:jc w:val="both"/>
      </w:pPr>
      <w:r>
        <w:t>Osobą uprawnioną przez Zamawiającego do komunikowania się z Wykonawcami jest</w:t>
      </w:r>
      <w:r w:rsidR="00263F1B">
        <w:t xml:space="preserve"> </w:t>
      </w:r>
    </w:p>
    <w:p w14:paraId="6C34BEDE" w14:textId="7765DE4B" w:rsidR="00D132AA" w:rsidRDefault="00EE4F33" w:rsidP="00A90F56">
      <w:pPr>
        <w:pStyle w:val="Akapitzlist"/>
        <w:jc w:val="both"/>
      </w:pPr>
      <w:r w:rsidRPr="00877118">
        <w:rPr>
          <w:b/>
          <w:bCs/>
        </w:rPr>
        <w:t>P</w:t>
      </w:r>
      <w:r w:rsidR="00973C77" w:rsidRPr="00877118">
        <w:rPr>
          <w:b/>
          <w:bCs/>
        </w:rPr>
        <w:t>an</w:t>
      </w:r>
      <w:r w:rsidRPr="00877118">
        <w:rPr>
          <w:b/>
          <w:bCs/>
        </w:rPr>
        <w:t xml:space="preserve"> </w:t>
      </w:r>
      <w:r w:rsidR="00877118" w:rsidRPr="00877118">
        <w:rPr>
          <w:b/>
          <w:bCs/>
        </w:rPr>
        <w:t>Paweł Zawisza.</w:t>
      </w:r>
    </w:p>
    <w:p w14:paraId="62CB274A" w14:textId="77777777" w:rsidR="001B5210" w:rsidRDefault="00973C77" w:rsidP="001B5210">
      <w:pPr>
        <w:pStyle w:val="Nagwek1"/>
        <w:numPr>
          <w:ilvl w:val="0"/>
          <w:numId w:val="17"/>
        </w:numPr>
      </w:pPr>
      <w:r w:rsidRPr="002C53E9">
        <w:t>TERMIN WYKONANIA ZAMÓWIENIA</w:t>
      </w:r>
    </w:p>
    <w:p w14:paraId="0C543565" w14:textId="77777777" w:rsidR="00877118" w:rsidRDefault="00877118" w:rsidP="001B5210">
      <w:pPr>
        <w:ind w:left="357"/>
        <w:jc w:val="both"/>
      </w:pPr>
      <w:r w:rsidRPr="00877118">
        <w:t xml:space="preserve">Zamówienie wykonać należy w terminie </w:t>
      </w:r>
      <w:r w:rsidRPr="00877118">
        <w:rPr>
          <w:b/>
          <w:bCs/>
        </w:rPr>
        <w:t>do 15 września 2025 r.</w:t>
      </w:r>
      <w:r w:rsidRPr="00877118">
        <w:t xml:space="preserve"> od dnia zawarcia umowy na jego realizację. </w:t>
      </w:r>
    </w:p>
    <w:p w14:paraId="032CAA4F" w14:textId="029AEBC9" w:rsidR="00D132AA" w:rsidRDefault="00973C77" w:rsidP="001B5210">
      <w:pPr>
        <w:ind w:left="357"/>
        <w:jc w:val="both"/>
      </w:pPr>
      <w:r>
        <w:t>Zamówienie uważa się za wykonane po</w:t>
      </w:r>
      <w:r w:rsidR="00E151E6">
        <w:t xml:space="preserve"> </w:t>
      </w:r>
      <w:r>
        <w:t xml:space="preserve">podpisaniu bezusterkowego protokołu odbioru przedmiotu zamówienia. </w:t>
      </w:r>
    </w:p>
    <w:p w14:paraId="650A4C26" w14:textId="250887F2" w:rsidR="00D132AA" w:rsidRPr="002C53E9" w:rsidRDefault="00973C77" w:rsidP="002C53E9">
      <w:pPr>
        <w:pStyle w:val="Nagwek1"/>
        <w:numPr>
          <w:ilvl w:val="0"/>
          <w:numId w:val="17"/>
        </w:numPr>
      </w:pPr>
      <w:r w:rsidRPr="002C53E9">
        <w:t>INFORMACJA NA TEMAT BRAKU KONFLIKTU INTERESÓW</w:t>
      </w:r>
    </w:p>
    <w:p w14:paraId="4CD37773" w14:textId="77777777" w:rsidR="00263F1B" w:rsidRDefault="00973C77" w:rsidP="00A90F56">
      <w:pPr>
        <w:pStyle w:val="Akapitzlist"/>
        <w:numPr>
          <w:ilvl w:val="0"/>
          <w:numId w:val="10"/>
        </w:numPr>
        <w:tabs>
          <w:tab w:val="clear" w:pos="0"/>
        </w:tabs>
        <w:ind w:left="714" w:hanging="357"/>
        <w:jc w:val="both"/>
      </w:pPr>
      <w:r>
        <w:t>Zgodnie z definicją w art. 24 Dyrektywy 2014/24/UE oraz motywie 16 jej preambuły,  pojęcie konfliktu interesów obejmuje „co najmniej każdą sytuację, w której członkowie personelu instytucji zamawiającej lub dostawcy usług w zakresie obsługi zamówień działającego w</w:t>
      </w:r>
      <w:r w:rsidR="00E151E6">
        <w:t> </w:t>
      </w:r>
      <w:r>
        <w:t xml:space="preserve">imieniu instytucji zamawiającej biorący udział w prowadzeniu postępowania o udzielenie zamówienia lub mogący wpłynąć na wynik tego postępowania mają, bezpośrednio lub pośrednio, interes finansowy, ekonomiczny lub inny interes osobisty, który postrzegać można jako zagrażający ich bezstronności i niezależności w związku z postępowaniem o udzielenie zamówienia”.  </w:t>
      </w:r>
    </w:p>
    <w:p w14:paraId="15938854" w14:textId="1C59A628" w:rsidR="00263F1B" w:rsidRDefault="00973C77" w:rsidP="00A90F56">
      <w:pPr>
        <w:pStyle w:val="Akapitzlist"/>
        <w:numPr>
          <w:ilvl w:val="0"/>
          <w:numId w:val="10"/>
        </w:numPr>
        <w:tabs>
          <w:tab w:val="clear" w:pos="0"/>
        </w:tabs>
        <w:ind w:left="714" w:hanging="357"/>
        <w:jc w:val="both"/>
      </w:pPr>
      <w: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 a Wykonawcą, polegające</w:t>
      </w:r>
      <w:r w:rsidR="00263F1B">
        <w:t xml:space="preserve"> </w:t>
      </w:r>
      <w:r>
        <w:t xml:space="preserve">w szczególności na: </w:t>
      </w:r>
    </w:p>
    <w:p w14:paraId="29111D22" w14:textId="77777777" w:rsidR="00263F1B" w:rsidRDefault="00973C77" w:rsidP="00A90F56">
      <w:pPr>
        <w:pStyle w:val="Akapitzlist"/>
        <w:numPr>
          <w:ilvl w:val="1"/>
          <w:numId w:val="10"/>
        </w:numPr>
        <w:tabs>
          <w:tab w:val="clear" w:pos="0"/>
        </w:tabs>
        <w:ind w:left="993" w:hanging="318"/>
        <w:jc w:val="both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39AD59A" w14:textId="5392F957" w:rsidR="00263F1B" w:rsidRDefault="00973C77" w:rsidP="00A90F56">
      <w:pPr>
        <w:pStyle w:val="Akapitzlist"/>
        <w:numPr>
          <w:ilvl w:val="1"/>
          <w:numId w:val="10"/>
        </w:numPr>
        <w:tabs>
          <w:tab w:val="clear" w:pos="0"/>
        </w:tabs>
        <w:ind w:left="993" w:hanging="318"/>
        <w:jc w:val="both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</w:t>
      </w:r>
      <w:r>
        <w:lastRenderedPageBreak/>
        <w:t xml:space="preserve">pożyciu z wykonawcą, jego zastępcą prawnym lub członkami organów zarządzających lub organów nadzorczych wykonawców ubiegających się o udzielenie zamówienia,  </w:t>
      </w:r>
    </w:p>
    <w:p w14:paraId="3470D596" w14:textId="7E5E13E8" w:rsidR="00263F1B" w:rsidRDefault="00973C77" w:rsidP="00A90F56">
      <w:pPr>
        <w:pStyle w:val="Akapitzlist"/>
        <w:numPr>
          <w:ilvl w:val="1"/>
          <w:numId w:val="10"/>
        </w:numPr>
        <w:tabs>
          <w:tab w:val="clear" w:pos="0"/>
        </w:tabs>
        <w:ind w:left="993" w:hanging="318"/>
        <w:jc w:val="both"/>
      </w:pPr>
      <w:r>
        <w:t>pozostawaniu z Wykonawcą w takim stosunku prawnym lub faktycznym, że istnieje uzasadniona wątpliwość co do ich bezstronności lub niezależności w związku</w:t>
      </w:r>
      <w:r w:rsidR="00263F1B">
        <w:t xml:space="preserve"> </w:t>
      </w:r>
      <w:r>
        <w:t>z</w:t>
      </w:r>
      <w:r w:rsidR="00263F1B">
        <w:t> </w:t>
      </w:r>
      <w:r>
        <w:t>postępowaniem o udzielenie zamówienia.</w:t>
      </w:r>
    </w:p>
    <w:p w14:paraId="6674EA08" w14:textId="431DB36B" w:rsidR="00263F1B" w:rsidRDefault="00973C77" w:rsidP="00A90F56">
      <w:pPr>
        <w:pStyle w:val="Akapitzlist"/>
        <w:numPr>
          <w:ilvl w:val="0"/>
          <w:numId w:val="10"/>
        </w:numPr>
        <w:tabs>
          <w:tab w:val="clear" w:pos="0"/>
        </w:tabs>
        <w:jc w:val="both"/>
      </w:pPr>
      <w:r>
        <w:t>W celu</w:t>
      </w:r>
      <w:r w:rsidR="008F1E62">
        <w:t xml:space="preserve"> </w:t>
      </w:r>
      <w:r>
        <w:t xml:space="preserve">zapewniania bezstronności i obiektywizmu zgodnie z zasadą konkurencyjności Wykonawca wraz z ofertą zobowiązany jest do złożenia oświadczenia o braku powiązań kapitałowych lub </w:t>
      </w:r>
      <w:r w:rsidRPr="00877118">
        <w:t>osobowych (</w:t>
      </w:r>
      <w:r w:rsidRPr="00877118">
        <w:rPr>
          <w:b/>
          <w:bCs/>
        </w:rPr>
        <w:t>Załącznik</w:t>
      </w:r>
      <w:r w:rsidR="00877118">
        <w:rPr>
          <w:b/>
          <w:bCs/>
        </w:rPr>
        <w:t xml:space="preserve"> nr</w:t>
      </w:r>
      <w:r w:rsidRPr="00877118">
        <w:rPr>
          <w:b/>
          <w:bCs/>
        </w:rPr>
        <w:t xml:space="preserve"> </w:t>
      </w:r>
      <w:r w:rsidR="00877118" w:rsidRPr="00877118">
        <w:rPr>
          <w:b/>
          <w:bCs/>
        </w:rPr>
        <w:t>3</w:t>
      </w:r>
      <w:r w:rsidRPr="00877118">
        <w:rPr>
          <w:b/>
          <w:bCs/>
        </w:rPr>
        <w:t xml:space="preserve"> do zapytania ofertowego</w:t>
      </w:r>
      <w:r w:rsidRPr="00877118">
        <w:t>).</w:t>
      </w:r>
    </w:p>
    <w:p w14:paraId="1473D192" w14:textId="3EB95168" w:rsidR="00D132AA" w:rsidRDefault="00973C77" w:rsidP="00A90F56">
      <w:pPr>
        <w:pStyle w:val="Akapitzlist"/>
        <w:numPr>
          <w:ilvl w:val="0"/>
          <w:numId w:val="10"/>
        </w:numPr>
        <w:tabs>
          <w:tab w:val="clear" w:pos="0"/>
        </w:tabs>
        <w:jc w:val="both"/>
      </w:pPr>
      <w:r>
        <w:t xml:space="preserve">Wykonawcy powiązani z Zamawiającym kapitałowo lub osobowo zostaną wykluczeni z udziału w postępowaniu. </w:t>
      </w:r>
    </w:p>
    <w:p w14:paraId="3A3B7B39" w14:textId="35B726C3" w:rsidR="00D132AA" w:rsidRDefault="00973C77" w:rsidP="002C53E9">
      <w:pPr>
        <w:pStyle w:val="Nagwek1"/>
        <w:numPr>
          <w:ilvl w:val="0"/>
          <w:numId w:val="17"/>
        </w:numPr>
      </w:pPr>
      <w:r w:rsidRPr="002C53E9">
        <w:t>PRZESŁANKI WYKLUCZENIA ROSYJSKICH WYKONAWCÓW Z ZAMÓWIEŃ PUBLICZNYCH</w:t>
      </w:r>
      <w:r w:rsidR="002C53E9">
        <w:t xml:space="preserve"> </w:t>
      </w:r>
      <w:r w:rsidRPr="002C53E9">
        <w:t xml:space="preserve">W CELU PRZECIWDZIAŁANIA </w:t>
      </w:r>
      <w:r w:rsidR="00D317A4" w:rsidRPr="002C53E9">
        <w:t>WSPIERANIU</w:t>
      </w:r>
      <w:r w:rsidRPr="002C53E9">
        <w:t xml:space="preserve"> AGRESJI FEDERACJI ROSYJSKIEJ NA UKRAINĘ</w:t>
      </w:r>
    </w:p>
    <w:p w14:paraId="038CF2B4" w14:textId="565D19B0" w:rsidR="00D132AA" w:rsidRDefault="00973C77" w:rsidP="00A90F56">
      <w:pPr>
        <w:pStyle w:val="Akapitzlist"/>
        <w:ind w:left="360"/>
        <w:jc w:val="both"/>
      </w:pPr>
      <w:r>
        <w:t xml:space="preserve">W związku z zakazem udziału rosyjskich wykonawców w zamówieniach publicznych, w wobec osób i podmiotów wpisanych na „Listę osób i podmiotów objętych sankcjami” prowadzoną przez ministra właściwego do spraw wewnętrznych, osoby oraz podmioty objęte sankcjami podlegają wykluczeniu z udziału w niniejszym postępowaniu.   </w:t>
      </w:r>
    </w:p>
    <w:p w14:paraId="51479225" w14:textId="77777777" w:rsidR="00D132AA" w:rsidRDefault="00973C77" w:rsidP="00A90F56">
      <w:pPr>
        <w:pStyle w:val="Akapitzlist"/>
        <w:ind w:left="360"/>
        <w:jc w:val="both"/>
      </w:pPr>
      <w:r>
        <w:t xml:space="preserve">Ponadto wykluczeniu z postępowania podlegają również rosyjscy wykonawcy nie wpisani wprost na ww. listę sankcji. </w:t>
      </w:r>
    </w:p>
    <w:p w14:paraId="4727316C" w14:textId="4E10277D" w:rsidR="00D132AA" w:rsidRDefault="00973C77" w:rsidP="00A90F56">
      <w:pPr>
        <w:ind w:left="348"/>
        <w:jc w:val="both"/>
      </w:pPr>
      <w:r>
        <w:t>W związku z powyższym Wykonawca wraz z ofertą zobowiązany jest do złożenia oświadczenia o</w:t>
      </w:r>
      <w:r w:rsidR="00C26C88">
        <w:t> </w:t>
      </w:r>
      <w:r>
        <w:t>br</w:t>
      </w:r>
      <w:r w:rsidR="00C26C88">
        <w:t>a</w:t>
      </w:r>
      <w:r>
        <w:t xml:space="preserve">ku podstaw do wykluczenia z </w:t>
      </w:r>
      <w:r w:rsidRPr="00877118">
        <w:t>postępowania (</w:t>
      </w:r>
      <w:r w:rsidRPr="00877118">
        <w:rPr>
          <w:b/>
          <w:bCs/>
        </w:rPr>
        <w:t>Załącznik</w:t>
      </w:r>
      <w:r w:rsidR="00877118" w:rsidRPr="00877118">
        <w:rPr>
          <w:b/>
          <w:bCs/>
        </w:rPr>
        <w:t xml:space="preserve"> nr</w:t>
      </w:r>
      <w:r w:rsidRPr="00877118">
        <w:rPr>
          <w:b/>
          <w:bCs/>
        </w:rPr>
        <w:t xml:space="preserve"> </w:t>
      </w:r>
      <w:r w:rsidR="00877118" w:rsidRPr="00877118">
        <w:rPr>
          <w:b/>
          <w:bCs/>
        </w:rPr>
        <w:t>4</w:t>
      </w:r>
      <w:r w:rsidRPr="00877118">
        <w:rPr>
          <w:b/>
          <w:bCs/>
        </w:rPr>
        <w:t xml:space="preserve"> do zapytania ofertowego</w:t>
      </w:r>
      <w:r w:rsidRPr="00877118">
        <w:t>).</w:t>
      </w:r>
    </w:p>
    <w:p w14:paraId="49AD68C7" w14:textId="33F57C11" w:rsidR="00D132AA" w:rsidRPr="002C53E9" w:rsidRDefault="00973C77" w:rsidP="002C53E9">
      <w:pPr>
        <w:pStyle w:val="Nagwek1"/>
        <w:numPr>
          <w:ilvl w:val="0"/>
          <w:numId w:val="17"/>
        </w:numPr>
      </w:pPr>
      <w:r w:rsidRPr="002C53E9">
        <w:t>WARUNKI ISTOTNYCH ZMIAN UMOWY ZAWARTEJ W WYNIKU PRZEPROWADZONEGO POSTĘPOWANIA</w:t>
      </w:r>
    </w:p>
    <w:p w14:paraId="04FF8548" w14:textId="73A2816D" w:rsidR="002C53E9" w:rsidRDefault="00973C77" w:rsidP="00A90F56">
      <w:pPr>
        <w:pStyle w:val="Akapitzlist"/>
        <w:numPr>
          <w:ilvl w:val="0"/>
          <w:numId w:val="7"/>
        </w:numPr>
        <w:tabs>
          <w:tab w:val="clear" w:pos="0"/>
          <w:tab w:val="num" w:pos="-360"/>
        </w:tabs>
        <w:ind w:left="850" w:hanging="425"/>
        <w:jc w:val="both"/>
      </w:pPr>
      <w:r>
        <w:t>Zamawiający przewiduje możliwość wprowadzenia następujących zmian umowy zwartej w</w:t>
      </w:r>
      <w:r w:rsidR="00263F1B">
        <w:t> </w:t>
      </w:r>
      <w:r>
        <w:t>wyniku przeprowadzonego postępowania:</w:t>
      </w:r>
    </w:p>
    <w:p w14:paraId="1733B945" w14:textId="39A731C0" w:rsidR="002C53E9" w:rsidRDefault="00973C77" w:rsidP="00A90F56">
      <w:pPr>
        <w:pStyle w:val="Akapitzlist"/>
        <w:numPr>
          <w:ilvl w:val="1"/>
          <w:numId w:val="7"/>
        </w:numPr>
        <w:tabs>
          <w:tab w:val="clear" w:pos="0"/>
        </w:tabs>
        <w:jc w:val="both"/>
      </w:pPr>
      <w:r>
        <w:t>uzasadnionego przedłużeniu terminu realizacji umowy na wypadek okoliczności, których Zamawiający działając z należytą starannością nie mógł przewidzieć, wynikających</w:t>
      </w:r>
      <w:r w:rsidR="002C53E9">
        <w:t xml:space="preserve"> </w:t>
      </w:r>
      <w:r>
        <w:t>z zabytkowego charakteru obiektu, w którym realizowane jest zamówienie,</w:t>
      </w:r>
    </w:p>
    <w:p w14:paraId="54F9CE67" w14:textId="77777777" w:rsidR="002C53E9" w:rsidRDefault="00973C77" w:rsidP="00A90F56">
      <w:pPr>
        <w:pStyle w:val="Akapitzlist"/>
        <w:numPr>
          <w:ilvl w:val="1"/>
          <w:numId w:val="7"/>
        </w:numPr>
        <w:tabs>
          <w:tab w:val="clear" w:pos="0"/>
        </w:tabs>
        <w:jc w:val="both"/>
      </w:pPr>
      <w:r>
        <w:t>uzasadnionego przedłużeniu terminu realizacji umowy w sytuacji działania siły wyższej, np. klęski żywiołowe, strajki generalne lub lokalne, mające bezpośredni wpływ na terminowość wykonania prac,</w:t>
      </w:r>
    </w:p>
    <w:p w14:paraId="2633EAF6" w14:textId="77777777" w:rsidR="002C53E9" w:rsidRDefault="00973C77" w:rsidP="00A90F56">
      <w:pPr>
        <w:pStyle w:val="Akapitzlist"/>
        <w:numPr>
          <w:ilvl w:val="1"/>
          <w:numId w:val="7"/>
        </w:numPr>
        <w:tabs>
          <w:tab w:val="clear" w:pos="0"/>
        </w:tabs>
        <w:jc w:val="both"/>
      </w:pPr>
      <w:r>
        <w:t>będących wynikiem zmian powszechnie obowiązujących przepisów prawa, których uchwalenie lub zmiana nastąpiły po dniu zawarcia umowy, a z których treści wynika konieczność lub zasadność wprowadzenia zmian, mających wpływ na realizację umowy,</w:t>
      </w:r>
    </w:p>
    <w:p w14:paraId="09C0CD42" w14:textId="7F4D251D" w:rsidR="00D132AA" w:rsidRDefault="00973C77" w:rsidP="00A90F56">
      <w:pPr>
        <w:pStyle w:val="Akapitzlist"/>
        <w:numPr>
          <w:ilvl w:val="1"/>
          <w:numId w:val="7"/>
        </w:numPr>
        <w:tabs>
          <w:tab w:val="clear" w:pos="0"/>
        </w:tabs>
        <w:jc w:val="both"/>
      </w:pPr>
      <w:r>
        <w:t>po spełnianiu co najmniej jednego z warunków określonych w Wytycznych dotyczących kwalifikowalności wydatków na lata 2021-2027 (sekcja 3.2.4 Umowy w sprawie zamówienia).</w:t>
      </w:r>
    </w:p>
    <w:p w14:paraId="3FB640F8" w14:textId="1425C75C" w:rsidR="00D132AA" w:rsidRPr="002C53E9" w:rsidRDefault="00973C77" w:rsidP="002C53E9">
      <w:pPr>
        <w:pStyle w:val="Nagwek1"/>
        <w:numPr>
          <w:ilvl w:val="0"/>
          <w:numId w:val="17"/>
        </w:numPr>
      </w:pPr>
      <w:r w:rsidRPr="002C53E9">
        <w:t>INFORMACJA O PRZETWARZANIU DANYCH OSOBOWYCH</w:t>
      </w:r>
    </w:p>
    <w:p w14:paraId="342442A1" w14:textId="6EB9C264" w:rsidR="00263F1B" w:rsidRDefault="00973C77" w:rsidP="00A90F56">
      <w:pPr>
        <w:pStyle w:val="Akapitzlist"/>
        <w:numPr>
          <w:ilvl w:val="0"/>
          <w:numId w:val="11"/>
        </w:numPr>
        <w:ind w:left="714" w:hanging="357"/>
        <w:jc w:val="both"/>
      </w:pPr>
      <w:r>
        <w:t>W celu wykonania obowiązku nałożonego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2C3D26">
        <w:t xml:space="preserve"> </w:t>
      </w:r>
      <w:r>
        <w:t xml:space="preserve">(ogólne rozporządzenie o ochronie danych </w:t>
      </w:r>
      <w:r>
        <w:lastRenderedPageBreak/>
        <w:t>osobowych) zwanej dalej „RODO”, informujemy o zasadach przetwarzania Państwa danych osobowych:</w:t>
      </w:r>
    </w:p>
    <w:p w14:paraId="1F89EF64" w14:textId="59E7C199" w:rsidR="00263F1B" w:rsidRDefault="00973C77" w:rsidP="00A90F56">
      <w:pPr>
        <w:pStyle w:val="Akapitzlist"/>
        <w:numPr>
          <w:ilvl w:val="1"/>
          <w:numId w:val="11"/>
        </w:numPr>
        <w:ind w:left="993" w:hanging="318"/>
        <w:jc w:val="both"/>
      </w:pPr>
      <w:r>
        <w:t>Administratorem danych osobowych jest:</w:t>
      </w:r>
      <w:r w:rsidR="002C53E9">
        <w:t xml:space="preserve"> </w:t>
      </w:r>
      <w:r>
        <w:t>LIBERTADOR Sp. z o. o.</w:t>
      </w:r>
      <w:r w:rsidR="002C53E9">
        <w:t>,</w:t>
      </w:r>
      <w:r>
        <w:t xml:space="preserve"> ul. Emilii Plater</w:t>
      </w:r>
      <w:r w:rsidR="002C3D26">
        <w:t> </w:t>
      </w:r>
      <w:r>
        <w:t>3A,</w:t>
      </w:r>
      <w:r w:rsidR="002C3D26">
        <w:t xml:space="preserve"> </w:t>
      </w:r>
      <w:r>
        <w:t>58</w:t>
      </w:r>
      <w:r w:rsidR="002C3D26">
        <w:softHyphen/>
      </w:r>
      <w:r w:rsidR="002C3D26">
        <w:softHyphen/>
      </w:r>
      <w:r w:rsidR="002C3D26">
        <w:softHyphen/>
      </w:r>
      <w:r w:rsidR="002C3D26">
        <w:noBreakHyphen/>
      </w:r>
      <w:r>
        <w:t>305 Wałbrzych, tel.: 504 093, 270</w:t>
      </w:r>
      <w:r w:rsidR="002C3D26">
        <w:t>,</w:t>
      </w:r>
      <w:r>
        <w:t xml:space="preserve"> e-mail: </w:t>
      </w:r>
      <w:hyperlink r:id="rId14">
        <w:r>
          <w:rPr>
            <w:rStyle w:val="Hipercze"/>
          </w:rPr>
          <w:t>biuro@ewis.pl</w:t>
        </w:r>
      </w:hyperlink>
      <w:r>
        <w:t>,</w:t>
      </w:r>
    </w:p>
    <w:p w14:paraId="0882AA9B" w14:textId="193337FA" w:rsidR="00263F1B" w:rsidRDefault="00973C77" w:rsidP="00A90F56">
      <w:pPr>
        <w:pStyle w:val="Akapitzlist"/>
        <w:numPr>
          <w:ilvl w:val="1"/>
          <w:numId w:val="11"/>
        </w:numPr>
        <w:ind w:left="993" w:hanging="318"/>
        <w:jc w:val="both"/>
      </w:pPr>
      <w:r>
        <w:t>Administrator wyznaczył inspektora ochrony danych, z którym można skontaktować się poprzez e-mail:</w:t>
      </w:r>
      <w:r w:rsidR="00EE4F33">
        <w:t xml:space="preserve"> </w:t>
      </w:r>
      <w:r>
        <w:t>administrator@libertador.pl we wszystkich sprawach dotyczących przetwarzania danych osobowych oraz korzystania z praw związanych z ich przetwarzaniem.</w:t>
      </w:r>
    </w:p>
    <w:p w14:paraId="1BA62BC0" w14:textId="10926051" w:rsidR="00263F1B" w:rsidRDefault="00973C77" w:rsidP="00A90F56">
      <w:pPr>
        <w:pStyle w:val="Akapitzlist"/>
        <w:numPr>
          <w:ilvl w:val="0"/>
          <w:numId w:val="11"/>
        </w:numPr>
        <w:jc w:val="both"/>
      </w:pPr>
      <w:r>
        <w:t>Wskazane dane osobowe przez Wykonawcę przetwarzane będą</w:t>
      </w:r>
      <w:r w:rsidR="008F1E62">
        <w:t xml:space="preserve"> </w:t>
      </w:r>
      <w:r>
        <w:t>w związku z tym</w:t>
      </w:r>
      <w:r w:rsidR="00B70CF3">
        <w:t xml:space="preserve">, </w:t>
      </w:r>
      <w:r>
        <w:t xml:space="preserve">że zobowiązuje nas do tego prawo (art. 6 ust. 1 lit. c RODO). </w:t>
      </w:r>
    </w:p>
    <w:p w14:paraId="0357DA76" w14:textId="53E9045A" w:rsidR="00263F1B" w:rsidRDefault="00973C77" w:rsidP="00A90F56">
      <w:pPr>
        <w:pStyle w:val="Akapitzlist"/>
        <w:numPr>
          <w:ilvl w:val="0"/>
          <w:numId w:val="11"/>
        </w:numPr>
        <w:jc w:val="both"/>
      </w:pPr>
      <w:r>
        <w:t xml:space="preserve">Dane osobowe będziemy przetwarzać w celu związanym z postępowaniem o udzielenie zamówienia  na  </w:t>
      </w:r>
      <w:r w:rsidR="005338B6" w:rsidRPr="005338B6">
        <w:t>dostawę i montaż linii technologicznej do produkcji piwa oraz linii do butelkowania do kopalni z szybem IRENA w Wałbrzychu przy ul. E. Plater 3a</w:t>
      </w:r>
      <w:r>
        <w:t>,  prowadzonym w</w:t>
      </w:r>
      <w:r w:rsidR="005338B6">
        <w:t> </w:t>
      </w:r>
      <w:r>
        <w:t>związku z realizacją  projektu   pn. „Muzeum browarnictwa i</w:t>
      </w:r>
      <w:r w:rsidR="00E151E6">
        <w:t> </w:t>
      </w:r>
      <w:r>
        <w:t xml:space="preserve">górnictwa wraz z innowacyjną linią do produkcji piwa i napoju </w:t>
      </w:r>
      <w:proofErr w:type="spellStart"/>
      <w:r>
        <w:t>b</w:t>
      </w:r>
      <w:r w:rsidR="002C3D26">
        <w:t>rz</w:t>
      </w:r>
      <w:r>
        <w:t>eczkowego</w:t>
      </w:r>
      <w:proofErr w:type="spellEnd"/>
      <w:r>
        <w:t xml:space="preserve"> oraz restauracją, winiarnią i ścieżką edukacyjną” współfinansowanego w ramach programu</w:t>
      </w:r>
      <w:r w:rsidR="002C3D26">
        <w:t xml:space="preserve"> </w:t>
      </w:r>
      <w:r>
        <w:t>Fundusze Europejskie dla Dolnego Śląska na lata 2021-2027, Oś priorytetowa FEDS.09 Fundusze Europejskie na rzecz transformacji obszarów górniczych na Dolnym Śląsku,</w:t>
      </w:r>
      <w:r w:rsidR="002C3D26">
        <w:t xml:space="preserve"> </w:t>
      </w:r>
      <w:r>
        <w:t>Działanie FEDS.09.04 Transformacja gospodarcza.</w:t>
      </w:r>
    </w:p>
    <w:p w14:paraId="79AB5583" w14:textId="77777777" w:rsidR="00263F1B" w:rsidRDefault="00973C77" w:rsidP="00A90F56">
      <w:pPr>
        <w:pStyle w:val="Akapitzlist"/>
        <w:numPr>
          <w:ilvl w:val="0"/>
          <w:numId w:val="11"/>
        </w:numPr>
        <w:jc w:val="both"/>
      </w:pPr>
      <w:r>
        <w:t>Możemy przetwarzać następujące rodzaje danych: imię, nazwisko, adres, adres poczty elektronicznej, numer telefonu, PESEL, REGON.</w:t>
      </w:r>
    </w:p>
    <w:p w14:paraId="2E7B49A8" w14:textId="0B928F5B" w:rsidR="00263F1B" w:rsidRDefault="00973C77" w:rsidP="00A90F56">
      <w:pPr>
        <w:pStyle w:val="Akapitzlist"/>
        <w:numPr>
          <w:ilvl w:val="0"/>
          <w:numId w:val="11"/>
        </w:numPr>
        <w:jc w:val="both"/>
      </w:pPr>
      <w:r>
        <w:t>Dane osobowe mogą być powierzane lub udostępniane uprawnionym  na mocy obowiązujących przepisów  instytucjom lub  podmiotom, w tym:  instytucji zarządzającej, instytucji wdrażającej, instytucji pośredniczącej, instytucji audytowej, instytucji Unii Europejskiej, podmiotom uprawnionym do kontroli prawidłowości wydatkowania środków publicznych którym udostępniona zostanie dokumentacja postępowania w związku z realizacją projektu   pn. „Muzeum browarnictwa i górnictwa wraz z innowacyjną linią do produkcji piwa i</w:t>
      </w:r>
      <w:r w:rsidR="00E151E6">
        <w:t> </w:t>
      </w:r>
      <w:r>
        <w:t xml:space="preserve">napoju </w:t>
      </w:r>
      <w:proofErr w:type="spellStart"/>
      <w:r>
        <w:t>b</w:t>
      </w:r>
      <w:r w:rsidR="002C3D26">
        <w:t>rz</w:t>
      </w:r>
      <w:r>
        <w:t>eczkowego</w:t>
      </w:r>
      <w:proofErr w:type="spellEnd"/>
      <w:r>
        <w:t xml:space="preserve"> oraz restauracją, winiarnią i ścieżką edukacyjną” współfinansowanego w</w:t>
      </w:r>
      <w:r w:rsidR="002C3D26">
        <w:t> </w:t>
      </w:r>
      <w:r>
        <w:t>ramach program</w:t>
      </w:r>
      <w:r w:rsidR="002C3D26">
        <w:t xml:space="preserve">u </w:t>
      </w:r>
      <w:r>
        <w:t>Fundusze Europejskie dla Dolnego Śląska na lata 2021-2027,</w:t>
      </w:r>
      <w:r w:rsidR="002C3D26">
        <w:t xml:space="preserve"> </w:t>
      </w:r>
      <w:r>
        <w:t>Oś</w:t>
      </w:r>
      <w:r w:rsidR="002C3D26">
        <w:t> </w:t>
      </w:r>
      <w:r>
        <w:t>priorytetowa FEDS.09 Fundusze Europejskie na rzecz transformacji obszarów górniczych na Dolnym Śląsku,   Działanie FEDS.09.04 Transformacja gospodarcza.</w:t>
      </w:r>
    </w:p>
    <w:p w14:paraId="1DC527B9" w14:textId="4EFE9643" w:rsidR="00263F1B" w:rsidRDefault="00973C77" w:rsidP="00A90F56">
      <w:pPr>
        <w:pStyle w:val="Akapitzlist"/>
        <w:numPr>
          <w:ilvl w:val="0"/>
          <w:numId w:val="11"/>
        </w:numPr>
        <w:jc w:val="both"/>
      </w:pPr>
      <w:r>
        <w:t xml:space="preserve">Wskazane dane osobowe będą przechowywane w formie umożliwiającej identyfikację osoby, której dane dotyczą, przez okres realizacji umowy  o dofinansowanie, w tym co najmniej przez okres 5 lat od 31 grudnia roku, w którym IP/IW dokona ostatniej płatności na rzecz Zamawiającego, z zastrzeżeniem postanowień umowy o dofinansowanie, które mogą przewidywać dłuższy termin przeprowadzania kontroli, a ponadto przepisów dotyczących pomocy publicznej i pomocy de </w:t>
      </w:r>
      <w:proofErr w:type="spellStart"/>
      <w:r>
        <w:t>minimis</w:t>
      </w:r>
      <w:proofErr w:type="spellEnd"/>
      <w:r>
        <w:t xml:space="preserve"> oraz przepisów, dotyczących podatku od towarów i</w:t>
      </w:r>
      <w:r w:rsidR="002C3D26">
        <w:t> </w:t>
      </w:r>
      <w:r>
        <w:t>usług.</w:t>
      </w:r>
    </w:p>
    <w:p w14:paraId="41C4115A" w14:textId="77777777" w:rsidR="00263F1B" w:rsidRDefault="00973C77" w:rsidP="00A90F56">
      <w:pPr>
        <w:pStyle w:val="Akapitzlist"/>
        <w:numPr>
          <w:ilvl w:val="0"/>
          <w:numId w:val="11"/>
        </w:numPr>
        <w:jc w:val="both"/>
      </w:pPr>
      <w:r>
        <w:t xml:space="preserve">Podanie danych osobowych jest warunkiem koniecznym uczestniczenia w </w:t>
      </w:r>
      <w:r w:rsidR="00B70CF3">
        <w:t>przedmiotowym postępianiu</w:t>
      </w:r>
      <w:r>
        <w:t xml:space="preserve"> o udzielenie zamówienia. Odmowa ich podania uniemożliwi ocenę oferty złożonej poprzez Bazę konkurencyjności i spowoduje jej odrzucenie.  </w:t>
      </w:r>
    </w:p>
    <w:p w14:paraId="7DE58F0B" w14:textId="77777777" w:rsidR="00263F1B" w:rsidRDefault="00973C77" w:rsidP="00A90F56">
      <w:pPr>
        <w:pStyle w:val="Akapitzlist"/>
        <w:numPr>
          <w:ilvl w:val="0"/>
          <w:numId w:val="11"/>
        </w:numPr>
        <w:jc w:val="both"/>
      </w:pPr>
      <w:r>
        <w:t>W odniesieniu do danych osobowych decyzje nie będą podejmowane w sposób zautomatyzowany, stosowanie do art. 22 RODO;</w:t>
      </w:r>
      <w:bookmarkStart w:id="6" w:name="_Hlk169629596"/>
    </w:p>
    <w:p w14:paraId="1E5F43B0" w14:textId="4631C1D3" w:rsidR="00D132AA" w:rsidRPr="00263F1B" w:rsidRDefault="00B70CF3" w:rsidP="00A90F56">
      <w:pPr>
        <w:pStyle w:val="Akapitzlist"/>
        <w:numPr>
          <w:ilvl w:val="0"/>
          <w:numId w:val="11"/>
        </w:numPr>
        <w:jc w:val="both"/>
      </w:pPr>
      <w:r>
        <w:t>Osobom, których</w:t>
      </w:r>
      <w:r w:rsidR="00973C77">
        <w:t xml:space="preserve"> dane przetwarzamy </w:t>
      </w:r>
      <w:bookmarkEnd w:id="6"/>
      <w:r w:rsidR="00973C77">
        <w:t>przysługują następujące prawa:</w:t>
      </w:r>
    </w:p>
    <w:p w14:paraId="61756120" w14:textId="77777777" w:rsidR="00263F1B" w:rsidRPr="00263F1B" w:rsidRDefault="00973C77" w:rsidP="00A90F56">
      <w:pPr>
        <w:pStyle w:val="Akapitzlist"/>
        <w:numPr>
          <w:ilvl w:val="0"/>
          <w:numId w:val="13"/>
        </w:numPr>
        <w:ind w:left="993" w:hanging="318"/>
        <w:jc w:val="both"/>
        <w:rPr>
          <w:color w:val="FF0000"/>
        </w:rPr>
      </w:pPr>
      <w:r>
        <w:t>na podstawie art. 15 RODO prawo dostępu do danych osobowych*;</w:t>
      </w:r>
    </w:p>
    <w:p w14:paraId="0AA5FAAD" w14:textId="77777777" w:rsidR="00263F1B" w:rsidRPr="00263F1B" w:rsidRDefault="00973C77" w:rsidP="00A90F56">
      <w:pPr>
        <w:pStyle w:val="Akapitzlist"/>
        <w:numPr>
          <w:ilvl w:val="0"/>
          <w:numId w:val="13"/>
        </w:numPr>
        <w:ind w:left="993" w:hanging="318"/>
        <w:jc w:val="both"/>
        <w:rPr>
          <w:color w:val="FF0000"/>
        </w:rPr>
      </w:pPr>
      <w:r>
        <w:t>na podstawie art. 16 RODO prawo do sprostowania swoich danych osobowych **;</w:t>
      </w:r>
    </w:p>
    <w:p w14:paraId="1EA2E047" w14:textId="77777777" w:rsidR="00263F1B" w:rsidRPr="00263F1B" w:rsidRDefault="00973C77" w:rsidP="00A90F56">
      <w:pPr>
        <w:pStyle w:val="Akapitzlist"/>
        <w:numPr>
          <w:ilvl w:val="0"/>
          <w:numId w:val="13"/>
        </w:numPr>
        <w:ind w:left="993" w:hanging="318"/>
        <w:jc w:val="both"/>
        <w:rPr>
          <w:color w:val="FF0000"/>
        </w:rPr>
      </w:pPr>
      <w:r>
        <w:t xml:space="preserve">na podstawie art. 18 RODO prawo żądania od administratora ograniczenia przetwarzania danych osobowych z zastrzeżeniem przypadków, o których mowa w art. 18 ust. 2 RODO ***;  </w:t>
      </w:r>
    </w:p>
    <w:p w14:paraId="2E3C4C69" w14:textId="21CF0942" w:rsidR="00D132AA" w:rsidRPr="00263F1B" w:rsidRDefault="00973C77" w:rsidP="00A90F56">
      <w:pPr>
        <w:pStyle w:val="Akapitzlist"/>
        <w:numPr>
          <w:ilvl w:val="0"/>
          <w:numId w:val="13"/>
        </w:numPr>
        <w:ind w:left="993" w:hanging="318"/>
        <w:jc w:val="both"/>
        <w:rPr>
          <w:color w:val="FF0000"/>
        </w:rPr>
      </w:pPr>
      <w:r>
        <w:t xml:space="preserve">prawo wniesienia skargi (art. 77 RODO) do organu nadzorczego tj. Prezesa Urzędu Ochrony Danych Osobowych (na adres: ul. Stawki 2, 00-193 Warszawa) - w przypadku uznania, iż </w:t>
      </w:r>
      <w:r>
        <w:lastRenderedPageBreak/>
        <w:t>przetwarzanie jej danych osobowych narusza przepisy RODO lub inne przepisy prawa regulujące kwestię ochrony danych osobowych.</w:t>
      </w:r>
    </w:p>
    <w:p w14:paraId="5A4C3401" w14:textId="19ADFB57" w:rsidR="00D132AA" w:rsidRDefault="00B70CF3" w:rsidP="00A90F56">
      <w:pPr>
        <w:pStyle w:val="Akapitzlist"/>
        <w:numPr>
          <w:ilvl w:val="0"/>
          <w:numId w:val="7"/>
        </w:numPr>
        <w:jc w:val="both"/>
      </w:pPr>
      <w:r>
        <w:t>Osobom, których</w:t>
      </w:r>
      <w:r w:rsidR="00973C77">
        <w:t xml:space="preserve"> dane przetwarzamy nie przysługuje:</w:t>
      </w:r>
    </w:p>
    <w:p w14:paraId="23369D54" w14:textId="77777777" w:rsidR="00263F1B" w:rsidRDefault="00973C77" w:rsidP="00A90F56">
      <w:pPr>
        <w:pStyle w:val="Akapitzlist"/>
        <w:numPr>
          <w:ilvl w:val="0"/>
          <w:numId w:val="14"/>
        </w:numPr>
        <w:ind w:left="993" w:hanging="318"/>
        <w:jc w:val="both"/>
      </w:pPr>
      <w:r>
        <w:t>w związku z art. 17 ust. 3 lit. b, d lub e RODO prawo do usunięcia danych osobowych;</w:t>
      </w:r>
    </w:p>
    <w:p w14:paraId="3676FAC8" w14:textId="77777777" w:rsidR="00263F1B" w:rsidRDefault="00973C77" w:rsidP="00A90F56">
      <w:pPr>
        <w:pStyle w:val="Akapitzlist"/>
        <w:numPr>
          <w:ilvl w:val="0"/>
          <w:numId w:val="14"/>
        </w:numPr>
        <w:ind w:left="993" w:hanging="318"/>
        <w:jc w:val="both"/>
      </w:pPr>
      <w:r>
        <w:t>prawo do przenoszenia danych osobowych, o którym mowa w art. 20 RODO;</w:t>
      </w:r>
    </w:p>
    <w:p w14:paraId="7C778AFE" w14:textId="0D7F8AB9" w:rsidR="00D132AA" w:rsidRDefault="00973C77" w:rsidP="00A90F56">
      <w:pPr>
        <w:pStyle w:val="Akapitzlist"/>
        <w:numPr>
          <w:ilvl w:val="0"/>
          <w:numId w:val="14"/>
        </w:numPr>
        <w:ind w:left="993" w:hanging="318"/>
        <w:jc w:val="both"/>
      </w:pPr>
      <w:r>
        <w:t xml:space="preserve">na podstawie art. 21 RODO prawo sprzeciwu, wobec przetwarzania danych osobowych, gdyż podstawą prawną przetwarzania danych osobowych jest art. 6 ust. 1 lit. c RODO. </w:t>
      </w:r>
    </w:p>
    <w:p w14:paraId="111C3866" w14:textId="6FD53B4A" w:rsidR="00D132AA" w:rsidRDefault="00B70CF3" w:rsidP="00A90F56">
      <w:pPr>
        <w:pStyle w:val="Akapitzlist"/>
        <w:numPr>
          <w:ilvl w:val="0"/>
          <w:numId w:val="7"/>
        </w:numPr>
        <w:jc w:val="both"/>
      </w:pPr>
      <w:r>
        <w:t>Przypominamy obowiązku</w:t>
      </w:r>
      <w:r w:rsidR="00973C77">
        <w:t xml:space="preserve"> informacyjnym wynikającym z art. 14 RODO względem osób fizycznych, których dane przekazane zostaną Zamawiającemu w związku z prowadzonym postępowaniem i które Zamawiający pośrednio pozyska od Wykonawcy biorącego udział</w:t>
      </w:r>
      <w:r w:rsidR="002C3D26">
        <w:t xml:space="preserve"> </w:t>
      </w:r>
      <w:r w:rsidR="00973C77">
        <w:t>w</w:t>
      </w:r>
      <w:r w:rsidR="002C3D26">
        <w:t> </w:t>
      </w:r>
      <w:r w:rsidR="00973C77">
        <w:t>postępowaniu, chyba że ma zastosowanie co najmniej jedno z włączeń, o których mowa</w:t>
      </w:r>
      <w:r w:rsidR="002C3D26">
        <w:t xml:space="preserve"> </w:t>
      </w:r>
      <w:r w:rsidR="00973C77">
        <w:t>w</w:t>
      </w:r>
      <w:r w:rsidR="002C3D26">
        <w:t> </w:t>
      </w:r>
      <w:r w:rsidR="00973C77">
        <w:t>art. 14 ust. 5 RODO.</w:t>
      </w:r>
    </w:p>
    <w:p w14:paraId="2902ADC5" w14:textId="77777777" w:rsidR="00D132AA" w:rsidRDefault="00973C77" w:rsidP="002C53E9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* Wyjaśnienie: informacja w tym zakresie jest wymagana, jeżeli w odniesieniu do danego administratora lub podmiotu przetwarzającego istnieje obowiązek wyznaczenia inspektora ochrony danych osobowych.</w:t>
      </w:r>
    </w:p>
    <w:p w14:paraId="66D11BC8" w14:textId="77777777" w:rsidR="00D132AA" w:rsidRDefault="00973C77" w:rsidP="002C53E9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 Wyjaśnienie: 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sz w:val="18"/>
          <w:szCs w:val="18"/>
        </w:rPr>
        <w:t>Pzp</w:t>
      </w:r>
      <w:proofErr w:type="spellEnd"/>
      <w:r>
        <w:rPr>
          <w:sz w:val="18"/>
          <w:szCs w:val="18"/>
        </w:rPr>
        <w:t xml:space="preserve"> oraz nie może naruszać integralności protokołu oraz jego załączników.</w:t>
      </w:r>
    </w:p>
    <w:p w14:paraId="7F23C7DB" w14:textId="77777777" w:rsidR="00D132AA" w:rsidRDefault="00973C77" w:rsidP="002C53E9">
      <w:pPr>
        <w:spacing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1267EBD4" w14:textId="77777777" w:rsidR="00D132AA" w:rsidRDefault="00973C77" w:rsidP="00A90F56">
      <w:pPr>
        <w:pStyle w:val="Nagwek1"/>
      </w:pPr>
      <w:bookmarkStart w:id="7" w:name="_Hlk169633499"/>
      <w:bookmarkEnd w:id="7"/>
      <w:r>
        <w:t>ZAŁĄCZNIKI:</w:t>
      </w:r>
    </w:p>
    <w:p w14:paraId="7B56A574" w14:textId="153419BB" w:rsidR="00EE4F33" w:rsidRDefault="00EE4F33" w:rsidP="00EE4F33">
      <w:pPr>
        <w:pStyle w:val="Akapitzlist"/>
        <w:numPr>
          <w:ilvl w:val="0"/>
          <w:numId w:val="9"/>
        </w:numPr>
        <w:ind w:left="993" w:hanging="993"/>
        <w:jc w:val="both"/>
      </w:pPr>
      <w:r w:rsidRPr="00EE4F33">
        <w:t>Specyfikacja techniczna linii technologicznej do produkcji piwa oraz linii do butelkowania</w:t>
      </w:r>
      <w:r>
        <w:t>.</w:t>
      </w:r>
    </w:p>
    <w:p w14:paraId="37CECF40" w14:textId="220F9466" w:rsidR="00D132AA" w:rsidRDefault="00EE4F33" w:rsidP="00EE4F33">
      <w:pPr>
        <w:pStyle w:val="Akapitzlist"/>
        <w:numPr>
          <w:ilvl w:val="0"/>
          <w:numId w:val="9"/>
        </w:numPr>
        <w:ind w:left="993" w:hanging="993"/>
        <w:jc w:val="both"/>
      </w:pPr>
      <w:r>
        <w:t>Formularz ofertowy</w:t>
      </w:r>
      <w:r w:rsidR="00973C77">
        <w:t>.</w:t>
      </w:r>
    </w:p>
    <w:p w14:paraId="6EAB6F33" w14:textId="3CDECFCB" w:rsidR="00D132AA" w:rsidRDefault="00973C77" w:rsidP="00EE4F33">
      <w:pPr>
        <w:pStyle w:val="Akapitzlist"/>
        <w:numPr>
          <w:ilvl w:val="0"/>
          <w:numId w:val="9"/>
        </w:numPr>
        <w:ind w:left="993" w:hanging="993"/>
        <w:jc w:val="both"/>
      </w:pPr>
      <w:bookmarkStart w:id="8" w:name="_Hlk172137798"/>
      <w:r>
        <w:t>Oświadczenie o braku powiązań kapitałowych i osobowych</w:t>
      </w:r>
      <w:r w:rsidR="000C0258">
        <w:t>.</w:t>
      </w:r>
    </w:p>
    <w:p w14:paraId="0D946B8E" w14:textId="599C70B6" w:rsidR="00D132AA" w:rsidRDefault="00973C77" w:rsidP="00EE4F33">
      <w:pPr>
        <w:pStyle w:val="Akapitzlist"/>
        <w:numPr>
          <w:ilvl w:val="0"/>
          <w:numId w:val="9"/>
        </w:numPr>
        <w:ind w:left="993" w:hanging="993"/>
        <w:jc w:val="both"/>
      </w:pPr>
      <w:r>
        <w:t>Oświadczenie o braku podstaw do wykluczenia z postępowania.</w:t>
      </w:r>
      <w:bookmarkEnd w:id="8"/>
    </w:p>
    <w:sectPr w:rsidR="00D132AA" w:rsidSect="007F2DDC">
      <w:footerReference w:type="default" r:id="rId15"/>
      <w:pgSz w:w="11906" w:h="16838"/>
      <w:pgMar w:top="1417" w:right="1417" w:bottom="1417" w:left="1417" w:header="0" w:footer="22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F13E0" w14:textId="77777777" w:rsidR="00DE12AF" w:rsidRDefault="00DE12AF" w:rsidP="007F2DDC">
      <w:pPr>
        <w:spacing w:after="0" w:line="240" w:lineRule="auto"/>
      </w:pPr>
      <w:r>
        <w:separator/>
      </w:r>
    </w:p>
  </w:endnote>
  <w:endnote w:type="continuationSeparator" w:id="0">
    <w:p w14:paraId="3F55EC57" w14:textId="77777777" w:rsidR="00DE12AF" w:rsidRDefault="00DE12AF" w:rsidP="007F2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977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F4CB7F" w14:textId="58435DEF" w:rsidR="007F2DDC" w:rsidRDefault="004D4C29" w:rsidP="004D4C29">
            <w:pPr>
              <w:jc w:val="right"/>
            </w:pPr>
            <w:r>
              <w:t>S</w:t>
            </w:r>
            <w:r w:rsidR="007F2DDC">
              <w:t xml:space="preserve">trona </w:t>
            </w:r>
            <w:r w:rsidR="007F2DDC">
              <w:rPr>
                <w:b/>
                <w:bCs/>
                <w:sz w:val="24"/>
                <w:szCs w:val="24"/>
              </w:rPr>
              <w:fldChar w:fldCharType="begin"/>
            </w:r>
            <w:r w:rsidR="007F2DDC">
              <w:rPr>
                <w:b/>
                <w:bCs/>
              </w:rPr>
              <w:instrText>PAGE</w:instrText>
            </w:r>
            <w:r w:rsidR="007F2DDC">
              <w:rPr>
                <w:b/>
                <w:bCs/>
                <w:sz w:val="24"/>
                <w:szCs w:val="24"/>
              </w:rPr>
              <w:fldChar w:fldCharType="separate"/>
            </w:r>
            <w:r w:rsidR="007F2DDC">
              <w:rPr>
                <w:b/>
                <w:bCs/>
              </w:rPr>
              <w:t>2</w:t>
            </w:r>
            <w:r w:rsidR="007F2DDC">
              <w:rPr>
                <w:b/>
                <w:bCs/>
                <w:sz w:val="24"/>
                <w:szCs w:val="24"/>
              </w:rPr>
              <w:fldChar w:fldCharType="end"/>
            </w:r>
            <w:r w:rsidR="007F2DDC">
              <w:t xml:space="preserve"> z </w:t>
            </w:r>
            <w:r w:rsidR="007F2DDC">
              <w:rPr>
                <w:b/>
                <w:bCs/>
                <w:sz w:val="24"/>
                <w:szCs w:val="24"/>
              </w:rPr>
              <w:fldChar w:fldCharType="begin"/>
            </w:r>
            <w:r w:rsidR="007F2DDC">
              <w:rPr>
                <w:b/>
                <w:bCs/>
              </w:rPr>
              <w:instrText>NUMPAGES</w:instrText>
            </w:r>
            <w:r w:rsidR="007F2DDC">
              <w:rPr>
                <w:b/>
                <w:bCs/>
                <w:sz w:val="24"/>
                <w:szCs w:val="24"/>
              </w:rPr>
              <w:fldChar w:fldCharType="separate"/>
            </w:r>
            <w:r w:rsidR="007F2DDC">
              <w:rPr>
                <w:b/>
                <w:bCs/>
              </w:rPr>
              <w:t>2</w:t>
            </w:r>
            <w:r w:rsidR="007F2DD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54C585" w14:textId="77777777" w:rsidR="007F2DDC" w:rsidRDefault="007F2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20E75" w14:textId="77777777" w:rsidR="00DE12AF" w:rsidRDefault="00DE12AF" w:rsidP="007F2DDC">
      <w:pPr>
        <w:spacing w:after="0" w:line="240" w:lineRule="auto"/>
      </w:pPr>
      <w:r>
        <w:separator/>
      </w:r>
    </w:p>
  </w:footnote>
  <w:footnote w:type="continuationSeparator" w:id="0">
    <w:p w14:paraId="019A4F3A" w14:textId="77777777" w:rsidR="00DE12AF" w:rsidRDefault="00DE12AF" w:rsidP="007F2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6001"/>
    <w:multiLevelType w:val="multilevel"/>
    <w:tmpl w:val="A2868C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D00660B"/>
    <w:multiLevelType w:val="multilevel"/>
    <w:tmpl w:val="DD8866DC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1715FD"/>
    <w:multiLevelType w:val="multilevel"/>
    <w:tmpl w:val="8208E8B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28A74A52"/>
    <w:multiLevelType w:val="multilevel"/>
    <w:tmpl w:val="AE4E9048"/>
    <w:lvl w:ilvl="0">
      <w:start w:val="1"/>
      <w:numFmt w:val="decimal"/>
      <w:lvlText w:val="Zał. nr %1 -"/>
      <w:lvlJc w:val="left"/>
      <w:pPr>
        <w:tabs>
          <w:tab w:val="num" w:pos="-1785"/>
        </w:tabs>
        <w:ind w:left="-1065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-1785"/>
        </w:tabs>
        <w:ind w:left="-345" w:hanging="360"/>
      </w:pPr>
    </w:lvl>
    <w:lvl w:ilvl="2">
      <w:start w:val="1"/>
      <w:numFmt w:val="lowerRoman"/>
      <w:lvlText w:val="%3."/>
      <w:lvlJc w:val="right"/>
      <w:pPr>
        <w:tabs>
          <w:tab w:val="num" w:pos="-1785"/>
        </w:tabs>
        <w:ind w:left="375" w:hanging="180"/>
      </w:pPr>
    </w:lvl>
    <w:lvl w:ilvl="3">
      <w:start w:val="1"/>
      <w:numFmt w:val="decimal"/>
      <w:lvlText w:val="%4."/>
      <w:lvlJc w:val="left"/>
      <w:pPr>
        <w:tabs>
          <w:tab w:val="num" w:pos="-1785"/>
        </w:tabs>
        <w:ind w:left="1095" w:hanging="360"/>
      </w:pPr>
    </w:lvl>
    <w:lvl w:ilvl="4">
      <w:start w:val="1"/>
      <w:numFmt w:val="lowerLetter"/>
      <w:lvlText w:val="%5."/>
      <w:lvlJc w:val="left"/>
      <w:pPr>
        <w:tabs>
          <w:tab w:val="num" w:pos="-1785"/>
        </w:tabs>
        <w:ind w:left="1815" w:hanging="360"/>
      </w:pPr>
    </w:lvl>
    <w:lvl w:ilvl="5">
      <w:start w:val="1"/>
      <w:numFmt w:val="lowerRoman"/>
      <w:lvlText w:val="%6."/>
      <w:lvlJc w:val="right"/>
      <w:pPr>
        <w:tabs>
          <w:tab w:val="num" w:pos="-1785"/>
        </w:tabs>
        <w:ind w:left="2535" w:hanging="180"/>
      </w:pPr>
    </w:lvl>
    <w:lvl w:ilvl="6">
      <w:start w:val="1"/>
      <w:numFmt w:val="decimal"/>
      <w:lvlText w:val="%7."/>
      <w:lvlJc w:val="left"/>
      <w:pPr>
        <w:tabs>
          <w:tab w:val="num" w:pos="-1785"/>
        </w:tabs>
        <w:ind w:left="3255" w:hanging="360"/>
      </w:pPr>
    </w:lvl>
    <w:lvl w:ilvl="7">
      <w:start w:val="1"/>
      <w:numFmt w:val="lowerLetter"/>
      <w:lvlText w:val="%8."/>
      <w:lvlJc w:val="left"/>
      <w:pPr>
        <w:tabs>
          <w:tab w:val="num" w:pos="-1785"/>
        </w:tabs>
        <w:ind w:left="3975" w:hanging="360"/>
      </w:pPr>
    </w:lvl>
    <w:lvl w:ilvl="8">
      <w:start w:val="1"/>
      <w:numFmt w:val="lowerRoman"/>
      <w:lvlText w:val="%9."/>
      <w:lvlJc w:val="right"/>
      <w:pPr>
        <w:tabs>
          <w:tab w:val="num" w:pos="-1785"/>
        </w:tabs>
        <w:ind w:left="4695" w:hanging="180"/>
      </w:pPr>
    </w:lvl>
  </w:abstractNum>
  <w:abstractNum w:abstractNumId="4" w15:restartNumberingAfterBreak="0">
    <w:nsid w:val="2A391938"/>
    <w:multiLevelType w:val="hybridMultilevel"/>
    <w:tmpl w:val="52A4DB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141A9"/>
    <w:multiLevelType w:val="multilevel"/>
    <w:tmpl w:val="5BB216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02525CC"/>
    <w:multiLevelType w:val="hybridMultilevel"/>
    <w:tmpl w:val="61BC04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055E2"/>
    <w:multiLevelType w:val="multilevel"/>
    <w:tmpl w:val="28A6DFAA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6E32934"/>
    <w:multiLevelType w:val="multilevel"/>
    <w:tmpl w:val="7406AC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0A62B6F"/>
    <w:multiLevelType w:val="multilevel"/>
    <w:tmpl w:val="07CEE9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69A14A5"/>
    <w:multiLevelType w:val="multilevel"/>
    <w:tmpl w:val="410CF9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eastAsiaTheme="minorHAnsi" w:hAnsi="Symbol" w:cstheme="minorBidi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92E7C95"/>
    <w:multiLevelType w:val="multilevel"/>
    <w:tmpl w:val="86E0E3FC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3871EA"/>
    <w:multiLevelType w:val="multilevel"/>
    <w:tmpl w:val="C504A2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</w:lvl>
  </w:abstractNum>
  <w:abstractNum w:abstractNumId="13" w15:restartNumberingAfterBreak="0">
    <w:nsid w:val="5AF81362"/>
    <w:multiLevelType w:val="hybridMultilevel"/>
    <w:tmpl w:val="973A2C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1CCC2A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96E26F2">
      <w:start w:val="1"/>
      <w:numFmt w:val="lowerLetter"/>
      <w:lvlText w:val="%3)"/>
      <w:lvlJc w:val="left"/>
      <w:pPr>
        <w:ind w:left="1800" w:hanging="180"/>
      </w:pPr>
      <w:rPr>
        <w:b/>
        <w:bCs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B57F0F"/>
    <w:multiLevelType w:val="hybridMultilevel"/>
    <w:tmpl w:val="6ECC004E"/>
    <w:lvl w:ilvl="0" w:tplc="91CCC2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4B0C2E"/>
    <w:multiLevelType w:val="hybridMultilevel"/>
    <w:tmpl w:val="D5F6E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3667D"/>
    <w:multiLevelType w:val="multilevel"/>
    <w:tmpl w:val="20861E96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DF767F8"/>
    <w:multiLevelType w:val="multilevel"/>
    <w:tmpl w:val="C5CEEE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04B4D61"/>
    <w:multiLevelType w:val="multilevel"/>
    <w:tmpl w:val="FC90CC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9" w15:restartNumberingAfterBreak="0">
    <w:nsid w:val="735273A0"/>
    <w:multiLevelType w:val="hybridMultilevel"/>
    <w:tmpl w:val="507AEB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650A29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F4665"/>
    <w:multiLevelType w:val="multilevel"/>
    <w:tmpl w:val="EA50B2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8383F12"/>
    <w:multiLevelType w:val="multilevel"/>
    <w:tmpl w:val="A23A1E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3"/>
  </w:num>
  <w:num w:numId="10">
    <w:abstractNumId w:val="18"/>
  </w:num>
  <w:num w:numId="11">
    <w:abstractNumId w:val="20"/>
  </w:num>
  <w:num w:numId="12">
    <w:abstractNumId w:val="5"/>
  </w:num>
  <w:num w:numId="13">
    <w:abstractNumId w:val="16"/>
  </w:num>
  <w:num w:numId="14">
    <w:abstractNumId w:val="11"/>
  </w:num>
  <w:num w:numId="15">
    <w:abstractNumId w:val="21"/>
  </w:num>
  <w:num w:numId="16">
    <w:abstractNumId w:val="15"/>
  </w:num>
  <w:num w:numId="17">
    <w:abstractNumId w:val="13"/>
  </w:num>
  <w:num w:numId="18">
    <w:abstractNumId w:val="17"/>
  </w:num>
  <w:num w:numId="19">
    <w:abstractNumId w:val="6"/>
  </w:num>
  <w:num w:numId="20">
    <w:abstractNumId w:val="4"/>
  </w:num>
  <w:num w:numId="21">
    <w:abstractNumId w:val="14"/>
  </w:num>
  <w:num w:numId="2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2AA"/>
    <w:rsid w:val="00040399"/>
    <w:rsid w:val="000B1FCD"/>
    <w:rsid w:val="000C0258"/>
    <w:rsid w:val="001B5007"/>
    <w:rsid w:val="001B5210"/>
    <w:rsid w:val="00263F1B"/>
    <w:rsid w:val="00270DE3"/>
    <w:rsid w:val="002B70FD"/>
    <w:rsid w:val="002C3D26"/>
    <w:rsid w:val="002C53E9"/>
    <w:rsid w:val="003742B3"/>
    <w:rsid w:val="004D4C29"/>
    <w:rsid w:val="005338B6"/>
    <w:rsid w:val="005407A2"/>
    <w:rsid w:val="0059753F"/>
    <w:rsid w:val="00682576"/>
    <w:rsid w:val="006F4122"/>
    <w:rsid w:val="007E2EC9"/>
    <w:rsid w:val="007F2DDC"/>
    <w:rsid w:val="00877118"/>
    <w:rsid w:val="00880CA6"/>
    <w:rsid w:val="008D165C"/>
    <w:rsid w:val="008F1E62"/>
    <w:rsid w:val="009243FB"/>
    <w:rsid w:val="00973C77"/>
    <w:rsid w:val="00A90F56"/>
    <w:rsid w:val="00B70CF3"/>
    <w:rsid w:val="00BF5FDC"/>
    <w:rsid w:val="00BF773F"/>
    <w:rsid w:val="00C26C88"/>
    <w:rsid w:val="00C45473"/>
    <w:rsid w:val="00CD5105"/>
    <w:rsid w:val="00D132AA"/>
    <w:rsid w:val="00D317A4"/>
    <w:rsid w:val="00DB5462"/>
    <w:rsid w:val="00DE12AF"/>
    <w:rsid w:val="00E151E6"/>
    <w:rsid w:val="00E2348E"/>
    <w:rsid w:val="00E96948"/>
    <w:rsid w:val="00EA509B"/>
    <w:rsid w:val="00EC5B44"/>
    <w:rsid w:val="00EE4F33"/>
    <w:rsid w:val="00EF1D2B"/>
    <w:rsid w:val="00F1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EF3CE"/>
  <w15:docId w15:val="{50219528-EBC1-40B0-871B-C462B9D6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F56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F4122"/>
    <w:pPr>
      <w:keepNext/>
      <w:keepLines/>
      <w:spacing w:before="240" w:after="240" w:line="240" w:lineRule="auto"/>
      <w:jc w:val="both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740C0"/>
  </w:style>
  <w:style w:type="character" w:customStyle="1" w:styleId="StopkaZnak">
    <w:name w:val="Stopka Znak"/>
    <w:basedOn w:val="Domylnaczcionkaakapitu"/>
    <w:link w:val="Stopka"/>
    <w:uiPriority w:val="99"/>
    <w:qFormat/>
    <w:rsid w:val="00C740C0"/>
  </w:style>
  <w:style w:type="character" w:styleId="Hipercze">
    <w:name w:val="Hyperlink"/>
    <w:basedOn w:val="Domylnaczcionkaakapitu"/>
    <w:uiPriority w:val="99"/>
    <w:unhideWhenUsed/>
    <w:rsid w:val="00B36D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B36D7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43BD7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67D6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67D6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67D61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740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740C0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90F5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7D6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7D61"/>
    <w:rPr>
      <w:b/>
      <w:bCs/>
    </w:rPr>
  </w:style>
  <w:style w:type="paragraph" w:styleId="Poprawka">
    <w:name w:val="Revision"/>
    <w:uiPriority w:val="99"/>
    <w:semiHidden/>
    <w:qFormat/>
    <w:rsid w:val="006B78C1"/>
  </w:style>
  <w:style w:type="character" w:customStyle="1" w:styleId="Nagwek1Znak">
    <w:name w:val="Nagłówek 1 Znak"/>
    <w:basedOn w:val="Domylnaczcionkaakapitu"/>
    <w:link w:val="Nagwek1"/>
    <w:uiPriority w:val="9"/>
    <w:rsid w:val="006F4122"/>
    <w:rPr>
      <w:rFonts w:eastAsiaTheme="majorEastAsia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nwestycje@libertad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pom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regulami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ewis.pl" TargetMode="External"/><Relationship Id="rId14" Type="http://schemas.openxmlformats.org/officeDocument/2006/relationships/hyperlink" Target="mailto:biuro@ewi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250DD-B20D-4996-B411-D2A2BCFA6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7</Pages>
  <Words>2729</Words>
  <Characters>16377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Mandziej</dc:creator>
  <dc:description/>
  <cp:lastModifiedBy>Paweł Krzysztof Zawisza</cp:lastModifiedBy>
  <cp:revision>20</cp:revision>
  <dcterms:created xsi:type="dcterms:W3CDTF">2024-07-01T10:33:00Z</dcterms:created>
  <dcterms:modified xsi:type="dcterms:W3CDTF">2024-10-31T19:56:00Z</dcterms:modified>
  <dc:language>pl-PL</dc:language>
</cp:coreProperties>
</file>