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0AFB65" w14:textId="77777777" w:rsidR="00D132AA" w:rsidRDefault="00973C77">
      <w:r>
        <w:rPr>
          <w:noProof/>
        </w:rPr>
        <w:drawing>
          <wp:inline distT="0" distB="0" distL="0" distR="0" wp14:anchorId="11EEED79" wp14:editId="1618E7FE">
            <wp:extent cx="5761355" cy="6096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6"/>
                    <a:stretch>
                      <a:fillRect/>
                    </a:stretch>
                  </pic:blipFill>
                  <pic:spPr bwMode="auto">
                    <a:xfrm>
                      <a:off x="0" y="0"/>
                      <a:ext cx="5761355" cy="609600"/>
                    </a:xfrm>
                    <a:prstGeom prst="rect">
                      <a:avLst/>
                    </a:prstGeom>
                  </pic:spPr>
                </pic:pic>
              </a:graphicData>
            </a:graphic>
          </wp:inline>
        </w:drawing>
      </w:r>
    </w:p>
    <w:p w14:paraId="4F5B356C" w14:textId="77777777" w:rsidR="00D132AA" w:rsidRDefault="00973C77">
      <w:pPr>
        <w:jc w:val="both"/>
        <w:rPr>
          <w:b/>
          <w:bCs/>
        </w:rPr>
      </w:pPr>
      <w:r>
        <w:rPr>
          <w:b/>
          <w:bCs/>
        </w:rPr>
        <w:t xml:space="preserve">Projekt </w:t>
      </w:r>
      <w:bookmarkStart w:id="0" w:name="_Hlk169528379"/>
      <w:r>
        <w:rPr>
          <w:b/>
          <w:bCs/>
        </w:rPr>
        <w:t>pn. „Muzeum browarnictwa i górnictwa wraz z innowacyjną linią do produkcji piwa i napoju beczkowego oraz restauracją, winiarnią i ścieżką edukacyjną” współfinansowany w ramach programu  Fundusze Europejskie dla Dolnego Śląska na lata 2021-2027,</w:t>
      </w:r>
      <w:r>
        <w:t xml:space="preserve"> </w:t>
      </w:r>
      <w:r>
        <w:rPr>
          <w:b/>
          <w:bCs/>
        </w:rPr>
        <w:t>Oś priorytetowa                             FEDS.09 Fundusze Europejskie na rzecz transformacji obszarów górniczych na Dolnym Śląsku,                                 Działanie FEDS.09.04 Transformacja gospodarcza</w:t>
      </w:r>
      <w:bookmarkEnd w:id="0"/>
    </w:p>
    <w:p w14:paraId="791D4101" w14:textId="07293B90" w:rsidR="00D132AA" w:rsidRDefault="00973C77">
      <w:pPr>
        <w:rPr>
          <w:color w:val="C00000"/>
        </w:rPr>
      </w:pP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t xml:space="preserve">   </w:t>
      </w:r>
      <w:r>
        <w:t>Wałbrzych, dn.0</w:t>
      </w:r>
      <w:r w:rsidR="009243FB">
        <w:t>2</w:t>
      </w:r>
      <w:r>
        <w:t>.07.2024 r.</w:t>
      </w:r>
    </w:p>
    <w:p w14:paraId="7253BC38" w14:textId="77777777" w:rsidR="00D132AA" w:rsidRDefault="00973C77">
      <w:pPr>
        <w:contextualSpacing/>
        <w:jc w:val="center"/>
        <w:rPr>
          <w:b/>
          <w:bCs/>
          <w:sz w:val="28"/>
          <w:szCs w:val="28"/>
        </w:rPr>
      </w:pPr>
      <w:r>
        <w:rPr>
          <w:b/>
          <w:bCs/>
          <w:sz w:val="28"/>
          <w:szCs w:val="28"/>
        </w:rPr>
        <w:t>ZAPYTANIE OFERTOWE</w:t>
      </w:r>
    </w:p>
    <w:p w14:paraId="1168B01A" w14:textId="77777777" w:rsidR="00D132AA" w:rsidRDefault="00973C77">
      <w:pPr>
        <w:contextualSpacing/>
        <w:jc w:val="center"/>
        <w:rPr>
          <w:b/>
          <w:bCs/>
        </w:rPr>
      </w:pPr>
      <w:r>
        <w:rPr>
          <w:b/>
          <w:bCs/>
        </w:rPr>
        <w:t xml:space="preserve">w sprawie zamówienia,  którego wartość przekracza kwotę 50 000,00 zł netto, </w:t>
      </w:r>
    </w:p>
    <w:p w14:paraId="78387D61" w14:textId="77777777" w:rsidR="00D132AA" w:rsidRDefault="00973C77">
      <w:pPr>
        <w:contextualSpacing/>
        <w:jc w:val="center"/>
        <w:rPr>
          <w:b/>
          <w:bCs/>
          <w:color w:val="FF0000"/>
        </w:rPr>
      </w:pPr>
      <w:r>
        <w:rPr>
          <w:b/>
          <w:bCs/>
        </w:rPr>
        <w:t>polegającego na remoncie wieży ciśnień będącej częścią kompleksu w kopalni z szybem IRENA</w:t>
      </w:r>
      <w:r>
        <w:rPr>
          <w:b/>
          <w:bCs/>
        </w:rPr>
        <w:br/>
        <w:t xml:space="preserve"> w Wałbrzychu</w:t>
      </w:r>
    </w:p>
    <w:p w14:paraId="2A2EEB53" w14:textId="77777777" w:rsidR="00D132AA" w:rsidRDefault="00D132AA">
      <w:pPr>
        <w:contextualSpacing/>
        <w:rPr>
          <w:b/>
          <w:bCs/>
          <w:color w:val="FF0000"/>
        </w:rPr>
      </w:pPr>
    </w:p>
    <w:p w14:paraId="65069702" w14:textId="77777777" w:rsidR="00D132AA" w:rsidRDefault="00D132AA">
      <w:pPr>
        <w:contextualSpacing/>
        <w:rPr>
          <w:b/>
          <w:bCs/>
          <w:color w:val="FF0000"/>
        </w:rPr>
      </w:pPr>
    </w:p>
    <w:p w14:paraId="48DC08FC" w14:textId="77777777" w:rsidR="00D132AA" w:rsidRDefault="00973C77">
      <w:pPr>
        <w:contextualSpacing/>
        <w:rPr>
          <w:b/>
          <w:bCs/>
        </w:rPr>
      </w:pPr>
      <w:r>
        <w:rPr>
          <w:b/>
          <w:bCs/>
        </w:rPr>
        <w:t>KOD CPV:</w:t>
      </w:r>
    </w:p>
    <w:p w14:paraId="3C517C8B" w14:textId="77777777" w:rsidR="00D132AA" w:rsidRDefault="00973C77">
      <w:pPr>
        <w:contextualSpacing/>
      </w:pPr>
      <w:r>
        <w:rPr>
          <w:b/>
          <w:bCs/>
        </w:rPr>
        <w:t xml:space="preserve">45000000-7  – </w:t>
      </w:r>
      <w:r>
        <w:t>Roboty budowlane</w:t>
      </w:r>
    </w:p>
    <w:p w14:paraId="1D23C7E6" w14:textId="77777777" w:rsidR="00D132AA" w:rsidRDefault="00973C77">
      <w:pPr>
        <w:contextualSpacing/>
      </w:pPr>
      <w:r>
        <w:rPr>
          <w:b/>
          <w:bCs/>
        </w:rPr>
        <w:t>45260000-7</w:t>
      </w:r>
      <w:r>
        <w:t xml:space="preserve"> </w:t>
      </w:r>
      <w:r>
        <w:rPr>
          <w:b/>
          <w:bCs/>
        </w:rPr>
        <w:t xml:space="preserve">– </w:t>
      </w:r>
      <w:r>
        <w:t>Roboty w zakresie wykonywania pokryć i konstrukcji dachowych i inne podobne roboty specjalistyczne</w:t>
      </w:r>
    </w:p>
    <w:p w14:paraId="00B88F83" w14:textId="77777777" w:rsidR="00D132AA" w:rsidRDefault="00973C77">
      <w:pPr>
        <w:contextualSpacing/>
      </w:pPr>
      <w:r>
        <w:rPr>
          <w:b/>
          <w:bCs/>
        </w:rPr>
        <w:t>45320000-6</w:t>
      </w:r>
      <w:r>
        <w:t xml:space="preserve"> </w:t>
      </w:r>
      <w:r>
        <w:rPr>
          <w:b/>
          <w:bCs/>
        </w:rPr>
        <w:t xml:space="preserve">– </w:t>
      </w:r>
      <w:r>
        <w:t>Roboty izolacyjne</w:t>
      </w:r>
    </w:p>
    <w:p w14:paraId="4366369B" w14:textId="77777777" w:rsidR="00D132AA" w:rsidRDefault="00973C77">
      <w:pPr>
        <w:contextualSpacing/>
      </w:pPr>
      <w:r>
        <w:rPr>
          <w:b/>
          <w:bCs/>
        </w:rPr>
        <w:t xml:space="preserve">45321000-3 – </w:t>
      </w:r>
      <w:r>
        <w:t xml:space="preserve"> Izolacja cieplna</w:t>
      </w:r>
    </w:p>
    <w:p w14:paraId="4349C3FB" w14:textId="77777777" w:rsidR="00D132AA" w:rsidRDefault="00973C77">
      <w:pPr>
        <w:contextualSpacing/>
      </w:pPr>
      <w:r>
        <w:rPr>
          <w:b/>
          <w:bCs/>
        </w:rPr>
        <w:t>4545300</w:t>
      </w:r>
      <w:r>
        <w:t xml:space="preserve">0 </w:t>
      </w:r>
      <w:r>
        <w:rPr>
          <w:b/>
          <w:bCs/>
        </w:rPr>
        <w:t xml:space="preserve">– </w:t>
      </w:r>
      <w:r>
        <w:t>Roboty remontowe i renowacyjne</w:t>
      </w:r>
    </w:p>
    <w:p w14:paraId="7FF05A28" w14:textId="77777777" w:rsidR="00D132AA" w:rsidRDefault="00973C77">
      <w:pPr>
        <w:contextualSpacing/>
      </w:pPr>
      <w:r>
        <w:rPr>
          <w:b/>
          <w:bCs/>
        </w:rPr>
        <w:t>45400000-1–</w:t>
      </w:r>
      <w:r>
        <w:t xml:space="preserve"> Roboty wykończeniowe w zakresie obiektów budowlanych</w:t>
      </w:r>
    </w:p>
    <w:p w14:paraId="42BFB8E7" w14:textId="77777777" w:rsidR="00D132AA" w:rsidRDefault="00D132AA">
      <w:pPr>
        <w:contextualSpacing/>
        <w:rPr>
          <w:b/>
          <w:bCs/>
        </w:rPr>
      </w:pPr>
    </w:p>
    <w:p w14:paraId="40103291" w14:textId="77777777" w:rsidR="00D132AA" w:rsidRDefault="00D132AA">
      <w:pPr>
        <w:contextualSpacing/>
        <w:rPr>
          <w:b/>
          <w:bCs/>
        </w:rPr>
      </w:pPr>
    </w:p>
    <w:p w14:paraId="4870B560" w14:textId="77777777" w:rsidR="00D132AA" w:rsidRDefault="00973C77">
      <w:pPr>
        <w:pStyle w:val="Akapitzlist"/>
        <w:numPr>
          <w:ilvl w:val="0"/>
          <w:numId w:val="1"/>
        </w:numPr>
        <w:ind w:left="426" w:hanging="284"/>
        <w:rPr>
          <w:b/>
          <w:bCs/>
        </w:rPr>
      </w:pPr>
      <w:r>
        <w:rPr>
          <w:b/>
          <w:bCs/>
        </w:rPr>
        <w:t>ZAMAWIAJĄCY:</w:t>
      </w:r>
    </w:p>
    <w:p w14:paraId="26EAEF68" w14:textId="77777777" w:rsidR="00D132AA" w:rsidRDefault="00973C77">
      <w:pPr>
        <w:spacing w:line="240" w:lineRule="auto"/>
        <w:ind w:left="142"/>
        <w:contextualSpacing/>
        <w:rPr>
          <w:b/>
          <w:bCs/>
        </w:rPr>
      </w:pPr>
      <w:bookmarkStart w:id="1" w:name="_Hlk169524777"/>
      <w:bookmarkStart w:id="2" w:name="_Hlk169525610"/>
      <w:r>
        <w:rPr>
          <w:b/>
          <w:bCs/>
        </w:rPr>
        <w:t>LIBERTADOR Spółka z ograniczoną odpowiedzialnością</w:t>
      </w:r>
      <w:bookmarkEnd w:id="1"/>
    </w:p>
    <w:p w14:paraId="1DEF1FDB" w14:textId="77777777" w:rsidR="00D132AA" w:rsidRDefault="00973C77">
      <w:pPr>
        <w:spacing w:line="240" w:lineRule="auto"/>
        <w:ind w:left="142"/>
        <w:contextualSpacing/>
        <w:rPr>
          <w:b/>
          <w:bCs/>
        </w:rPr>
      </w:pPr>
      <w:r>
        <w:rPr>
          <w:b/>
          <w:bCs/>
        </w:rPr>
        <w:t>ul. Emilii Plater 3A, 58-305 Wałbrzych</w:t>
      </w:r>
    </w:p>
    <w:p w14:paraId="79A5DB70" w14:textId="77777777" w:rsidR="00D132AA" w:rsidRDefault="00973C77">
      <w:pPr>
        <w:spacing w:line="240" w:lineRule="auto"/>
        <w:ind w:left="142"/>
        <w:contextualSpacing/>
      </w:pPr>
      <w:r>
        <w:t>NIP: 8862975991</w:t>
      </w:r>
    </w:p>
    <w:p w14:paraId="6AE05172" w14:textId="77777777" w:rsidR="00D132AA" w:rsidRDefault="00973C77">
      <w:pPr>
        <w:spacing w:line="240" w:lineRule="auto"/>
        <w:ind w:left="142"/>
        <w:contextualSpacing/>
      </w:pPr>
      <w:r>
        <w:t>REGON: 021743390</w:t>
      </w:r>
    </w:p>
    <w:p w14:paraId="3AA162B3" w14:textId="77777777" w:rsidR="00D132AA" w:rsidRDefault="00973C77">
      <w:pPr>
        <w:spacing w:line="240" w:lineRule="auto"/>
        <w:ind w:left="142"/>
        <w:contextualSpacing/>
      </w:pPr>
      <w:r>
        <w:t>KRS: 0000399240</w:t>
      </w:r>
    </w:p>
    <w:p w14:paraId="5C54303D" w14:textId="77777777" w:rsidR="00D132AA" w:rsidRDefault="00973C77">
      <w:pPr>
        <w:spacing w:line="240" w:lineRule="auto"/>
        <w:ind w:left="142"/>
        <w:contextualSpacing/>
      </w:pPr>
      <w:r>
        <w:t>tel.: 504 093 270</w:t>
      </w:r>
    </w:p>
    <w:p w14:paraId="24CB6B61" w14:textId="77777777" w:rsidR="00D132AA" w:rsidRDefault="00973C77">
      <w:pPr>
        <w:spacing w:line="240" w:lineRule="auto"/>
        <w:ind w:left="142"/>
        <w:contextualSpacing/>
      </w:pPr>
      <w:r>
        <w:t xml:space="preserve"> e-mail: </w:t>
      </w:r>
      <w:hyperlink r:id="rId7">
        <w:r>
          <w:rPr>
            <w:rStyle w:val="Hipercze"/>
          </w:rPr>
          <w:t>biuro@ewis.pl</w:t>
        </w:r>
      </w:hyperlink>
      <w:bookmarkEnd w:id="2"/>
    </w:p>
    <w:p w14:paraId="2AE32C33" w14:textId="77777777" w:rsidR="00D132AA" w:rsidRDefault="00D132AA">
      <w:pPr>
        <w:spacing w:line="240" w:lineRule="auto"/>
        <w:ind w:left="142"/>
        <w:contextualSpacing/>
      </w:pPr>
    </w:p>
    <w:p w14:paraId="682370B3" w14:textId="77777777" w:rsidR="00D132AA" w:rsidRDefault="00973C77">
      <w:pPr>
        <w:pStyle w:val="Akapitzlist"/>
        <w:numPr>
          <w:ilvl w:val="0"/>
          <w:numId w:val="1"/>
        </w:numPr>
        <w:spacing w:line="240" w:lineRule="auto"/>
        <w:ind w:left="426" w:hanging="284"/>
        <w:rPr>
          <w:b/>
          <w:bCs/>
        </w:rPr>
      </w:pPr>
      <w:r>
        <w:rPr>
          <w:b/>
          <w:bCs/>
        </w:rPr>
        <w:t>OPIS PRZEDMIOTU ZAMÓWIENIA</w:t>
      </w:r>
    </w:p>
    <w:p w14:paraId="32A76A81" w14:textId="77777777" w:rsidR="00D132AA" w:rsidRDefault="00973C77">
      <w:pPr>
        <w:pStyle w:val="Akapitzlist"/>
        <w:numPr>
          <w:ilvl w:val="0"/>
          <w:numId w:val="2"/>
        </w:numPr>
        <w:spacing w:line="240" w:lineRule="auto"/>
        <w:jc w:val="both"/>
      </w:pPr>
      <w:r>
        <w:t xml:space="preserve">Zamówienie obejmuje </w:t>
      </w:r>
      <w:bookmarkStart w:id="3" w:name="_Hlk169361596"/>
      <w:bookmarkStart w:id="4" w:name="_Hlk169369302"/>
      <w:r>
        <w:t xml:space="preserve">remont wieży ciśnień w zespole szybu Irena w Wałbrzychu </w:t>
      </w:r>
      <w:bookmarkEnd w:id="3"/>
      <w:r>
        <w:t xml:space="preserve">przy </w:t>
      </w:r>
      <w:r>
        <w:br/>
        <w:t xml:space="preserve">ul. E Plater 3a </w:t>
      </w:r>
      <w:bookmarkEnd w:id="4"/>
      <w:r>
        <w:t xml:space="preserve">(dz. nr 440/4, obręb nr 30 </w:t>
      </w:r>
      <w:proofErr w:type="spellStart"/>
      <w:r>
        <w:t>Sobięcin</w:t>
      </w:r>
      <w:proofErr w:type="spellEnd"/>
      <w:r>
        <w:t>). Remont będzie składał się z: remontu powierzchni ścian, robót izolacyjnych i posadzkowych, roboty blacharsko-dekarskie</w:t>
      </w:r>
    </w:p>
    <w:p w14:paraId="5BADAAC8" w14:textId="73D0B83B" w:rsidR="00D132AA" w:rsidRDefault="00973C77">
      <w:pPr>
        <w:pStyle w:val="Akapitzlist"/>
        <w:numPr>
          <w:ilvl w:val="0"/>
          <w:numId w:val="2"/>
        </w:numPr>
        <w:spacing w:line="240" w:lineRule="auto"/>
        <w:jc w:val="both"/>
      </w:pPr>
      <w:r>
        <w:t>Przedmiar prac remontowych będących przedmiotem zamówienia stanowi</w:t>
      </w:r>
      <w:r w:rsidR="000C0258">
        <w:t xml:space="preserve"> </w:t>
      </w:r>
      <w:r>
        <w:rPr>
          <w:b/>
          <w:bCs/>
        </w:rPr>
        <w:t>Załącznik nr 1</w:t>
      </w:r>
      <w:r>
        <w:t xml:space="preserve"> do zapytania ofertowego.  </w:t>
      </w:r>
    </w:p>
    <w:p w14:paraId="307DA548" w14:textId="20A7459C" w:rsidR="00D132AA" w:rsidRDefault="00973C77">
      <w:pPr>
        <w:pStyle w:val="Akapitzlist"/>
        <w:numPr>
          <w:ilvl w:val="0"/>
          <w:numId w:val="2"/>
        </w:numPr>
        <w:spacing w:line="240" w:lineRule="auto"/>
        <w:jc w:val="both"/>
      </w:pPr>
      <w:r>
        <w:t>Mapka lokalizacyjna pokazująca umiejscowienie wieży ciśnie</w:t>
      </w:r>
      <w:r w:rsidR="009243FB">
        <w:t>ń</w:t>
      </w:r>
      <w:r>
        <w:t xml:space="preserve"> na terenie kompleksu obiektów </w:t>
      </w:r>
      <w:proofErr w:type="spellStart"/>
      <w:r>
        <w:t>pogórniczych</w:t>
      </w:r>
      <w:proofErr w:type="spellEnd"/>
      <w:r>
        <w:t xml:space="preserve"> w Szybie Irena stanowi </w:t>
      </w:r>
      <w:r>
        <w:rPr>
          <w:b/>
          <w:bCs/>
        </w:rPr>
        <w:t>Załącznik 2</w:t>
      </w:r>
      <w:r>
        <w:t xml:space="preserve"> do zapytania ofertowego.</w:t>
      </w:r>
    </w:p>
    <w:p w14:paraId="5F3A80D7" w14:textId="354FBE1B" w:rsidR="00D132AA" w:rsidRDefault="00973C77">
      <w:pPr>
        <w:pStyle w:val="Akapitzlist"/>
        <w:numPr>
          <w:ilvl w:val="0"/>
          <w:numId w:val="2"/>
        </w:numPr>
      </w:pPr>
      <w:r>
        <w:t xml:space="preserve">Projekt architektoniczno-budowlany stanowi </w:t>
      </w:r>
      <w:r>
        <w:rPr>
          <w:b/>
          <w:bCs/>
        </w:rPr>
        <w:t>Załącznik 3</w:t>
      </w:r>
      <w:r>
        <w:t xml:space="preserve"> do zapytania ofertowego</w:t>
      </w:r>
      <w:r w:rsidR="00E151E6">
        <w:t>.</w:t>
      </w:r>
    </w:p>
    <w:p w14:paraId="626D8F18" w14:textId="53DEAD32" w:rsidR="00D132AA" w:rsidRDefault="00973C77">
      <w:pPr>
        <w:pStyle w:val="Akapitzlist"/>
        <w:numPr>
          <w:ilvl w:val="0"/>
          <w:numId w:val="2"/>
        </w:numPr>
      </w:pPr>
      <w:r>
        <w:t xml:space="preserve">Minimalny wymagany okres gwarancji jakości na przedmiot zamówienia wynosi: </w:t>
      </w:r>
      <w:r>
        <w:rPr>
          <w:b/>
          <w:bCs/>
        </w:rPr>
        <w:t>48 miesięcy.</w:t>
      </w:r>
    </w:p>
    <w:p w14:paraId="20178781" w14:textId="77777777" w:rsidR="00D132AA" w:rsidRDefault="00D132AA">
      <w:pPr>
        <w:spacing w:line="240" w:lineRule="auto"/>
        <w:ind w:left="360"/>
        <w:jc w:val="both"/>
      </w:pPr>
    </w:p>
    <w:p w14:paraId="41B61609" w14:textId="65A0B980" w:rsidR="00D132AA" w:rsidRDefault="00973C77">
      <w:pPr>
        <w:pStyle w:val="Akapitzlist"/>
        <w:numPr>
          <w:ilvl w:val="0"/>
          <w:numId w:val="2"/>
        </w:numPr>
        <w:spacing w:line="240" w:lineRule="auto"/>
        <w:jc w:val="both"/>
      </w:pPr>
      <w:r>
        <w:lastRenderedPageBreak/>
        <w:t xml:space="preserve">Przedmiot zamówienia stanowi przedsięwzięcie polegającego na remoncie wieży ciśnień będącej częścią kompleksu kopalni z Szybem Irena w Wałbrzychu i jest zgodny z pozwoleniem na budowę – decyzja nr 144/2023 Prezydenta Miasta Wałbrzych z dn. 10.05.2023 r. </w:t>
      </w:r>
      <w:r>
        <w:br/>
        <w:t>(</w:t>
      </w:r>
      <w:r>
        <w:rPr>
          <w:b/>
          <w:bCs/>
        </w:rPr>
        <w:t>Załącznik</w:t>
      </w:r>
      <w:r w:rsidR="000C0258">
        <w:rPr>
          <w:b/>
          <w:bCs/>
        </w:rPr>
        <w:t xml:space="preserve"> </w:t>
      </w:r>
      <w:r>
        <w:rPr>
          <w:b/>
          <w:bCs/>
        </w:rPr>
        <w:t>4</w:t>
      </w:r>
      <w:r>
        <w:t xml:space="preserve"> do zapytania ofertowego) oraz pozwoleniem na budowę Dolnośląskiego Wojewódzkiego Konserwatora Zabytków nr 1143/2023 z dn.</w:t>
      </w:r>
      <w:r w:rsidR="000C0258">
        <w:t xml:space="preserve"> </w:t>
      </w:r>
      <w:r>
        <w:t>28.09.2023r. (</w:t>
      </w:r>
      <w:r>
        <w:rPr>
          <w:b/>
          <w:bCs/>
        </w:rPr>
        <w:t>Załącznik 5</w:t>
      </w:r>
      <w:r>
        <w:t xml:space="preserve"> </w:t>
      </w:r>
      <w:r>
        <w:br/>
        <w:t>do zapytania ofertowego)</w:t>
      </w:r>
    </w:p>
    <w:p w14:paraId="7CE0DB3E" w14:textId="488AE556" w:rsidR="00D132AA" w:rsidRDefault="00973C77" w:rsidP="00E151E6">
      <w:pPr>
        <w:pStyle w:val="Akapitzlist"/>
        <w:numPr>
          <w:ilvl w:val="0"/>
          <w:numId w:val="2"/>
        </w:numPr>
        <w:spacing w:line="240" w:lineRule="auto"/>
        <w:jc w:val="both"/>
      </w:pPr>
      <w:r>
        <w:t xml:space="preserve">Ewentualne podane w opisie przedmiotu zamówienia odniesienia do  nazw własnych, znaków towarowych, patentów lub pochodzenia, źródła lub szczególnego procesu, które charakteryzują produkty lub usługi dostarczone przez konkretnego wykonawcę,  nie mają na celu uprzywilejowanie lub wyeliminowanie niektórych wykonawców lub produktów, a jedynie sprecyzowanie oczekiwań jakościowych, technologicznych, wydajnościowych czy funkcjonalnych Zamawiającego. Zamawiający wskazuje, że Wykonawca może zaoferować przedmiot zamówienia określony w zapytaniu ofertowym </w:t>
      </w:r>
      <w:r>
        <w:rPr>
          <w:b/>
          <w:bCs/>
        </w:rPr>
        <w:t>lub równoważny</w:t>
      </w:r>
      <w:r>
        <w:t>.</w:t>
      </w:r>
    </w:p>
    <w:p w14:paraId="138CE6AB" w14:textId="77777777" w:rsidR="00E151E6" w:rsidRPr="00E151E6" w:rsidRDefault="00E151E6" w:rsidP="00E151E6">
      <w:pPr>
        <w:pStyle w:val="Akapitzlist"/>
        <w:spacing w:line="240" w:lineRule="auto"/>
        <w:jc w:val="both"/>
      </w:pPr>
    </w:p>
    <w:p w14:paraId="5947DB99" w14:textId="77777777" w:rsidR="00D132AA" w:rsidRDefault="00973C77">
      <w:pPr>
        <w:pStyle w:val="Akapitzlist"/>
        <w:numPr>
          <w:ilvl w:val="0"/>
          <w:numId w:val="1"/>
        </w:numPr>
        <w:ind w:left="426" w:hanging="284"/>
        <w:rPr>
          <w:b/>
          <w:bCs/>
        </w:rPr>
      </w:pPr>
      <w:r>
        <w:rPr>
          <w:b/>
          <w:bCs/>
        </w:rPr>
        <w:t xml:space="preserve">OPIS WARUNKÓW UDZIAŁU W POSTĘPOWANIU ORAZ SPOSOBU DOKONYWANIA  OCENY ICH SPEŁNIENIA </w:t>
      </w:r>
    </w:p>
    <w:p w14:paraId="34C06E8D" w14:textId="77777777" w:rsidR="00D132AA" w:rsidRDefault="00D132AA">
      <w:pPr>
        <w:pStyle w:val="Akapitzlist"/>
        <w:ind w:left="426"/>
      </w:pPr>
    </w:p>
    <w:p w14:paraId="555DD543" w14:textId="77777777" w:rsidR="00D132AA" w:rsidRDefault="00973C77">
      <w:pPr>
        <w:pStyle w:val="Akapitzlist"/>
        <w:numPr>
          <w:ilvl w:val="0"/>
          <w:numId w:val="3"/>
        </w:numPr>
        <w:jc w:val="both"/>
      </w:pPr>
      <w:r>
        <w:t xml:space="preserve"> O udzielenie zamówienia mogą ubiegać się Wykonawcy, którzy wykażą minimalny poziom zdolności w zakresie doświadczenia, a mianowicie w okresie ostatnich 3 lat przed upływem terminu składania ofert, a jeżeli okres prowadzenia działalności jest krótszy, to w tym okresie zrealizowali: </w:t>
      </w:r>
    </w:p>
    <w:p w14:paraId="0BCB5478" w14:textId="4C264178" w:rsidR="00D132AA" w:rsidRDefault="00973C77">
      <w:pPr>
        <w:pStyle w:val="Akapitzlist"/>
        <w:tabs>
          <w:tab w:val="left" w:pos="709"/>
        </w:tabs>
        <w:ind w:hanging="294"/>
        <w:jc w:val="both"/>
      </w:pPr>
      <w:r>
        <w:tab/>
        <w:t xml:space="preserve">- co najmniej dwa zamówienia, których przedmiotem był remont obiektu budowlanego </w:t>
      </w:r>
      <w:r w:rsidR="009243FB">
        <w:br/>
      </w:r>
      <w:r>
        <w:t xml:space="preserve">o wartości minimum </w:t>
      </w:r>
      <w:r>
        <w:rPr>
          <w:b/>
          <w:bCs/>
        </w:rPr>
        <w:t>200 000 złotych</w:t>
      </w:r>
      <w:r>
        <w:t xml:space="preserve">  łącznie z podatkiem VAT  </w:t>
      </w:r>
      <w:r>
        <w:rPr>
          <w:u w:val="single"/>
        </w:rPr>
        <w:t>każde zamówienie</w:t>
      </w:r>
      <w:r>
        <w:t xml:space="preserve">.  </w:t>
      </w:r>
    </w:p>
    <w:p w14:paraId="12742D01" w14:textId="77777777" w:rsidR="00D132AA" w:rsidRDefault="00973C77">
      <w:pPr>
        <w:pStyle w:val="Akapitzlist"/>
        <w:tabs>
          <w:tab w:val="left" w:pos="709"/>
        </w:tabs>
        <w:ind w:hanging="294"/>
        <w:jc w:val="both"/>
      </w:pPr>
      <w:r>
        <w:t xml:space="preserve">      Wykonawca nie może sumować wartości kilku dostaw/usług  o mniejszym zakresie dla uzyskania wymaganych wartości porównywalnych.</w:t>
      </w:r>
    </w:p>
    <w:p w14:paraId="0DEF35B1" w14:textId="77777777" w:rsidR="00D132AA" w:rsidRDefault="00D132AA">
      <w:pPr>
        <w:pStyle w:val="Akapitzlist"/>
        <w:tabs>
          <w:tab w:val="left" w:pos="709"/>
        </w:tabs>
        <w:ind w:hanging="294"/>
        <w:jc w:val="both"/>
      </w:pPr>
    </w:p>
    <w:p w14:paraId="2CEB6EDD" w14:textId="77777777" w:rsidR="00D132AA" w:rsidRDefault="00973C77">
      <w:pPr>
        <w:pStyle w:val="Akapitzlist"/>
        <w:tabs>
          <w:tab w:val="left" w:pos="709"/>
        </w:tabs>
        <w:ind w:hanging="11"/>
        <w:jc w:val="both"/>
      </w:pPr>
      <w:r>
        <w:t xml:space="preserve"> W celu potwierdzenia spełniania ww. warunku Zamawiający żąda od Wykonawcy dostarczenia:   </w:t>
      </w:r>
    </w:p>
    <w:p w14:paraId="5F08EA87" w14:textId="6C5D512D" w:rsidR="00D132AA" w:rsidRDefault="00973C77">
      <w:pPr>
        <w:pStyle w:val="Akapitzlist"/>
        <w:ind w:hanging="294"/>
        <w:jc w:val="both"/>
      </w:pPr>
      <w:r>
        <w:t xml:space="preserve">      - wykazu  zrealizowanych prac budowlanych polegających na remoncie powierzchni ścian </w:t>
      </w:r>
      <w:r w:rsidR="00682576">
        <w:t>obiektu budowlanego,</w:t>
      </w:r>
      <w:r>
        <w:t xml:space="preserve"> robotach izolacyjnych przeprowadzonych w </w:t>
      </w:r>
      <w:r w:rsidR="009243FB">
        <w:t>danym obiekcie</w:t>
      </w:r>
      <w:r>
        <w:t xml:space="preserve"> oraz robotach blacharsko-dekarskich zrealizowanych w </w:t>
      </w:r>
      <w:r w:rsidR="009243FB">
        <w:t>obiekcie budowlanym</w:t>
      </w:r>
      <w:r>
        <w:t>, wykonanych nie wcześniej niż w okresie ostatnich 3 lat przed upływem terminu składania ofert. Jeżeli okres prowadzenia działalności jest krótszy, to w tym okresie, wraz z podaniem ich rodzaju, wartości, daty, miejsca wykonania oraz podmiotów, na rzecz których prace te zostały wykonane, oraz załączeniem dowodów określających, czy prace te wykonano należycie, tj.</w:t>
      </w:r>
      <w:r w:rsidR="000C0258">
        <w:t xml:space="preserve"> </w:t>
      </w:r>
      <w:r>
        <w:t>zgodnie z</w:t>
      </w:r>
      <w:r w:rsidR="000C0258">
        <w:t> </w:t>
      </w:r>
      <w:r>
        <w:t xml:space="preserve">obowiązującymi przepisami prawa oraz prawidłowo ukończone </w:t>
      </w:r>
      <w:r>
        <w:rPr>
          <w:b/>
          <w:bCs/>
        </w:rPr>
        <w:t xml:space="preserve">(Załącznik </w:t>
      </w:r>
      <w:r w:rsidR="00E151E6">
        <w:rPr>
          <w:b/>
          <w:bCs/>
        </w:rPr>
        <w:t>9</w:t>
      </w:r>
      <w:r>
        <w:rPr>
          <w:b/>
          <w:bCs/>
        </w:rPr>
        <w:t xml:space="preserve"> </w:t>
      </w:r>
      <w:r>
        <w:t>do zapytania ofertowego</w:t>
      </w:r>
      <w:r>
        <w:rPr>
          <w:b/>
          <w:bCs/>
        </w:rPr>
        <w:t>)</w:t>
      </w:r>
      <w:r>
        <w:t xml:space="preserve">, przy czym  dowodami, o których mowa, są referencje bądź inne dokumenty sporządzone  przez podmiot, na rzecz którego prace były wykonywane takie jak: poświadczenie  należytego wykonania prac lub protokół odbioru.  </w:t>
      </w:r>
    </w:p>
    <w:p w14:paraId="741A1980" w14:textId="77777777" w:rsidR="00D132AA" w:rsidRDefault="00D132AA">
      <w:pPr>
        <w:pStyle w:val="Akapitzlist"/>
        <w:ind w:left="426"/>
        <w:jc w:val="both"/>
      </w:pPr>
    </w:p>
    <w:p w14:paraId="28514940" w14:textId="3345DF9D" w:rsidR="00D132AA" w:rsidRDefault="00973C77">
      <w:pPr>
        <w:pStyle w:val="Akapitzlist"/>
        <w:numPr>
          <w:ilvl w:val="0"/>
          <w:numId w:val="3"/>
        </w:numPr>
        <w:jc w:val="both"/>
      </w:pPr>
      <w:r>
        <w:t>O udzielenie zamówienia mogą ubiegać się Wykonawcy, którzy wykażą minimalny poziom zdolności ekonomicznej i finansowej, a mianowicie są ubezpieczeni</w:t>
      </w:r>
      <w:r w:rsidR="009243FB">
        <w:t xml:space="preserve"> </w:t>
      </w:r>
      <w:r>
        <w:t>od</w:t>
      </w:r>
      <w:r w:rsidR="009243FB">
        <w:t xml:space="preserve"> </w:t>
      </w:r>
      <w:r>
        <w:t xml:space="preserve">odpowiedzialności cywilnej w zakresie prowadzonej działalności związanej z przedmiotem zamówienia na sumę gwarancyjną minimum: </w:t>
      </w:r>
      <w:r>
        <w:rPr>
          <w:b/>
          <w:bCs/>
        </w:rPr>
        <w:t>100 000 zł</w:t>
      </w:r>
      <w:r>
        <w:t>.</w:t>
      </w:r>
    </w:p>
    <w:p w14:paraId="5173D891" w14:textId="77777777" w:rsidR="00D132AA" w:rsidRDefault="00D132AA">
      <w:pPr>
        <w:pStyle w:val="Akapitzlist"/>
        <w:ind w:left="426"/>
      </w:pPr>
    </w:p>
    <w:p w14:paraId="644814FB" w14:textId="77777777" w:rsidR="00D132AA" w:rsidRDefault="00973C77">
      <w:pPr>
        <w:pStyle w:val="Akapitzlist"/>
        <w:ind w:left="709"/>
        <w:jc w:val="both"/>
      </w:pPr>
      <w:r>
        <w:t>W celu potwierdzenia spełniania warunku dotyczącego sytuacji ekonomicznej lub finansowej Zamawiający żąda od Wykonawcy:</w:t>
      </w:r>
    </w:p>
    <w:p w14:paraId="5B349228" w14:textId="77BEE42E" w:rsidR="00D132AA" w:rsidRDefault="00973C77" w:rsidP="00E151E6">
      <w:pPr>
        <w:pStyle w:val="Akapitzlist"/>
        <w:ind w:left="709"/>
        <w:jc w:val="both"/>
      </w:pPr>
      <w:r>
        <w:t xml:space="preserve">- dokumentu potwierdzającego, że Wykonawca jest ubezpieczony od odpowiedzialności cywilnej w zakresie prowadzonej działalności związanej z przedmiotem zamówienia, ze wskazaniem sumy gwarancyjnej tego ubezpieczenia. Dokumentem,  o którym  mowa  wyżej </w:t>
      </w:r>
      <w:r>
        <w:lastRenderedPageBreak/>
        <w:t xml:space="preserve">może być opłacona polisa ubezpieczeniowa od odpowiedzialności cywilnej lub inny równoważny dokument.  </w:t>
      </w:r>
    </w:p>
    <w:p w14:paraId="7144AEDF" w14:textId="77777777" w:rsidR="00E151E6" w:rsidRPr="00E151E6" w:rsidRDefault="00E151E6" w:rsidP="00E151E6">
      <w:pPr>
        <w:pStyle w:val="Akapitzlist"/>
        <w:ind w:left="709"/>
        <w:jc w:val="both"/>
      </w:pPr>
    </w:p>
    <w:p w14:paraId="0AD80118" w14:textId="77777777" w:rsidR="00D132AA" w:rsidRDefault="00973C77" w:rsidP="00E151E6">
      <w:pPr>
        <w:pStyle w:val="Akapitzlist"/>
        <w:numPr>
          <w:ilvl w:val="0"/>
          <w:numId w:val="1"/>
        </w:numPr>
        <w:spacing w:line="240" w:lineRule="auto"/>
        <w:ind w:left="425" w:hanging="284"/>
        <w:rPr>
          <w:rFonts w:cstheme="minorHAnsi"/>
          <w:b/>
          <w:bCs/>
        </w:rPr>
      </w:pPr>
      <w:r>
        <w:rPr>
          <w:rFonts w:cstheme="minorHAnsi"/>
          <w:b/>
          <w:bCs/>
        </w:rPr>
        <w:t>KRYTERIA OCENY OFERT, INFORMACJA O WAGACH PUNKTOWYCH LUB PROCENTOWYCH</w:t>
      </w:r>
    </w:p>
    <w:p w14:paraId="1BAEB32A" w14:textId="77777777" w:rsidR="00D132AA" w:rsidRDefault="00973C77" w:rsidP="00E151E6">
      <w:pPr>
        <w:pStyle w:val="Akapitzlist"/>
        <w:spacing w:line="240" w:lineRule="auto"/>
        <w:ind w:left="425"/>
        <w:rPr>
          <w:rFonts w:cstheme="minorHAnsi"/>
          <w:b/>
          <w:bCs/>
        </w:rPr>
      </w:pPr>
      <w:r>
        <w:rPr>
          <w:rFonts w:cstheme="minorHAnsi"/>
          <w:b/>
          <w:bCs/>
        </w:rPr>
        <w:t xml:space="preserve">PRZYPISANYCH DO POSZCZEGÓLNYCH KRYTERIÓW OCENY OFERT ORAZ OPIS SPOSOBU </w:t>
      </w:r>
    </w:p>
    <w:p w14:paraId="181C03A3" w14:textId="77777777" w:rsidR="00D132AA" w:rsidRDefault="00973C77" w:rsidP="00E151E6">
      <w:pPr>
        <w:pStyle w:val="Akapitzlist"/>
        <w:spacing w:line="240" w:lineRule="auto"/>
        <w:ind w:left="425"/>
        <w:rPr>
          <w:rFonts w:cstheme="minorHAnsi"/>
          <w:b/>
          <w:bCs/>
        </w:rPr>
      </w:pPr>
      <w:r>
        <w:rPr>
          <w:rFonts w:cstheme="minorHAnsi"/>
          <w:b/>
          <w:bCs/>
        </w:rPr>
        <w:t>PRZYZNAWANIA PUNKTACJI ZA SPEŁNIENIE DANEGO KRYERIUM OCENY OFERT</w:t>
      </w:r>
    </w:p>
    <w:p w14:paraId="05C45298" w14:textId="77777777" w:rsidR="00D132AA" w:rsidRDefault="00973C77">
      <w:pPr>
        <w:spacing w:line="240" w:lineRule="auto"/>
        <w:ind w:left="709" w:hanging="283"/>
        <w:rPr>
          <w:rFonts w:cstheme="minorHAnsi"/>
        </w:rPr>
      </w:pPr>
      <w:r>
        <w:rPr>
          <w:rFonts w:cstheme="minorHAnsi"/>
        </w:rPr>
        <w:t>1) Przy wyborze oferty najkorzystniejszej, Zamawiający będzie się kierował następującymi kryteriami:</w:t>
      </w:r>
    </w:p>
    <w:p w14:paraId="57A1448B" w14:textId="77777777" w:rsidR="00D132AA" w:rsidRDefault="00973C77">
      <w:pPr>
        <w:pStyle w:val="Akapitzlist"/>
        <w:spacing w:line="240" w:lineRule="auto"/>
        <w:ind w:left="426"/>
        <w:rPr>
          <w:rFonts w:cstheme="minorHAnsi"/>
        </w:rPr>
      </w:pPr>
      <w:r>
        <w:rPr>
          <w:rFonts w:cstheme="minorHAnsi"/>
          <w:b/>
          <w:bCs/>
        </w:rPr>
        <w:t>a) Kryterium „CENA” w PLN</w:t>
      </w:r>
      <w:r>
        <w:rPr>
          <w:rFonts w:cstheme="minorHAnsi"/>
        </w:rPr>
        <w:t>:</w:t>
      </w:r>
    </w:p>
    <w:p w14:paraId="60CF7298" w14:textId="77777777" w:rsidR="00D132AA" w:rsidRDefault="00973C77">
      <w:pPr>
        <w:pStyle w:val="Akapitzlist"/>
        <w:numPr>
          <w:ilvl w:val="0"/>
          <w:numId w:val="4"/>
        </w:numPr>
        <w:spacing w:line="240" w:lineRule="auto"/>
        <w:rPr>
          <w:rFonts w:cstheme="minorHAnsi"/>
        </w:rPr>
      </w:pPr>
      <w:r>
        <w:rPr>
          <w:rFonts w:cstheme="minorHAnsi"/>
        </w:rPr>
        <w:t>znaczenie kryterium - 60% (0,6);</w:t>
      </w:r>
    </w:p>
    <w:p w14:paraId="116C12DA" w14:textId="77777777" w:rsidR="00D132AA" w:rsidRDefault="00973C77">
      <w:pPr>
        <w:pStyle w:val="Akapitzlist"/>
        <w:numPr>
          <w:ilvl w:val="0"/>
          <w:numId w:val="4"/>
        </w:numPr>
        <w:spacing w:line="240" w:lineRule="auto"/>
        <w:rPr>
          <w:rFonts w:cstheme="minorHAnsi"/>
        </w:rPr>
      </w:pPr>
      <w:r>
        <w:rPr>
          <w:rFonts w:cstheme="minorHAnsi"/>
        </w:rPr>
        <w:t xml:space="preserve">opis sposobu oceny ofert dla kryterium „Ceny”: </w:t>
      </w:r>
    </w:p>
    <w:p w14:paraId="7A1C02AB" w14:textId="77777777" w:rsidR="00D132AA" w:rsidRDefault="00D132AA">
      <w:pPr>
        <w:pStyle w:val="Akapitzlist"/>
        <w:spacing w:line="240" w:lineRule="auto"/>
        <w:ind w:left="426"/>
        <w:rPr>
          <w:rFonts w:cstheme="minorHAnsi"/>
        </w:rPr>
      </w:pPr>
    </w:p>
    <w:p w14:paraId="1F9F5348" w14:textId="77777777" w:rsidR="00D132AA" w:rsidRDefault="00973C77">
      <w:pPr>
        <w:pStyle w:val="Akapitzlist"/>
        <w:spacing w:line="240" w:lineRule="auto"/>
        <w:ind w:left="426"/>
        <w:rPr>
          <w:rFonts w:cstheme="minorHAnsi"/>
        </w:rPr>
      </w:pPr>
      <w:r>
        <w:rPr>
          <w:rFonts w:cstheme="minorHAnsi"/>
        </w:rPr>
        <w:t xml:space="preserve"> C = (</w:t>
      </w:r>
      <w:proofErr w:type="spellStart"/>
      <w:r>
        <w:rPr>
          <w:rFonts w:cstheme="minorHAnsi"/>
        </w:rPr>
        <w:t>Cmin</w:t>
      </w:r>
      <w:proofErr w:type="spellEnd"/>
      <w:r>
        <w:rPr>
          <w:rFonts w:cstheme="minorHAnsi"/>
        </w:rPr>
        <w:t>/Co) x 0,6 x 100 pkt</w:t>
      </w:r>
    </w:p>
    <w:p w14:paraId="3E4AC00E" w14:textId="77777777" w:rsidR="00D132AA" w:rsidRDefault="00973C77">
      <w:pPr>
        <w:pStyle w:val="Akapitzlist"/>
        <w:spacing w:line="240" w:lineRule="auto"/>
        <w:ind w:left="426"/>
        <w:rPr>
          <w:rFonts w:cstheme="minorHAnsi"/>
        </w:rPr>
      </w:pPr>
      <w:r>
        <w:rPr>
          <w:rFonts w:cstheme="minorHAnsi"/>
        </w:rPr>
        <w:t>gdzie:</w:t>
      </w:r>
    </w:p>
    <w:p w14:paraId="54B6BD30" w14:textId="77777777" w:rsidR="00D132AA" w:rsidRDefault="00973C77">
      <w:pPr>
        <w:pStyle w:val="Akapitzlist"/>
        <w:spacing w:line="240" w:lineRule="auto"/>
        <w:ind w:left="426"/>
        <w:rPr>
          <w:rFonts w:cstheme="minorHAnsi"/>
        </w:rPr>
      </w:pPr>
      <w:r>
        <w:rPr>
          <w:rFonts w:cstheme="minorHAnsi"/>
        </w:rPr>
        <w:t xml:space="preserve"> C - liczba uzyskanych punktów dla kryterium „Cena” ocenianej oferty</w:t>
      </w:r>
    </w:p>
    <w:p w14:paraId="0184CE0E" w14:textId="77777777" w:rsidR="00D132AA" w:rsidRDefault="00973C77">
      <w:pPr>
        <w:pStyle w:val="Akapitzlist"/>
        <w:spacing w:line="240" w:lineRule="auto"/>
        <w:ind w:left="426"/>
        <w:rPr>
          <w:rFonts w:cstheme="minorHAnsi"/>
        </w:rPr>
      </w:pPr>
      <w:r>
        <w:rPr>
          <w:rFonts w:cstheme="minorHAnsi"/>
        </w:rPr>
        <w:t xml:space="preserve"> </w:t>
      </w:r>
      <w:proofErr w:type="spellStart"/>
      <w:r>
        <w:rPr>
          <w:rFonts w:cstheme="minorHAnsi"/>
        </w:rPr>
        <w:t>Cmin</w:t>
      </w:r>
      <w:proofErr w:type="spellEnd"/>
      <w:r>
        <w:rPr>
          <w:rFonts w:cstheme="minorHAnsi"/>
        </w:rPr>
        <w:t xml:space="preserve"> – cena brutto w ofercie z najniższą ceną</w:t>
      </w:r>
    </w:p>
    <w:p w14:paraId="5EE1ACFA" w14:textId="77777777" w:rsidR="00D132AA" w:rsidRDefault="00973C77">
      <w:pPr>
        <w:pStyle w:val="Akapitzlist"/>
        <w:spacing w:line="240" w:lineRule="auto"/>
        <w:ind w:left="426"/>
        <w:rPr>
          <w:rFonts w:cstheme="minorHAnsi"/>
        </w:rPr>
      </w:pPr>
      <w:r>
        <w:rPr>
          <w:rFonts w:cstheme="minorHAnsi"/>
        </w:rPr>
        <w:t xml:space="preserve">  Co  - cena brutto w ofercie ocenianej </w:t>
      </w:r>
    </w:p>
    <w:p w14:paraId="12B5CE03" w14:textId="77777777" w:rsidR="00D132AA" w:rsidRDefault="00D132AA">
      <w:pPr>
        <w:pStyle w:val="Akapitzlist"/>
        <w:spacing w:line="240" w:lineRule="auto"/>
        <w:ind w:left="426"/>
        <w:rPr>
          <w:rFonts w:cstheme="minorHAnsi"/>
        </w:rPr>
      </w:pPr>
    </w:p>
    <w:p w14:paraId="63AD0A33" w14:textId="77777777" w:rsidR="00D132AA" w:rsidRDefault="00973C77">
      <w:pPr>
        <w:pStyle w:val="Akapitzlist"/>
        <w:spacing w:line="240" w:lineRule="auto"/>
        <w:ind w:left="426"/>
        <w:rPr>
          <w:rFonts w:cstheme="minorHAnsi"/>
          <w:b/>
          <w:bCs/>
        </w:rPr>
      </w:pPr>
      <w:r>
        <w:rPr>
          <w:rFonts w:cstheme="minorHAnsi"/>
          <w:b/>
          <w:bCs/>
        </w:rPr>
        <w:t>b) Kryterium „GWARANCJA”:</w:t>
      </w:r>
    </w:p>
    <w:p w14:paraId="006D40D1" w14:textId="77777777" w:rsidR="00D132AA" w:rsidRDefault="00973C77">
      <w:pPr>
        <w:pStyle w:val="Akapitzlist"/>
        <w:numPr>
          <w:ilvl w:val="0"/>
          <w:numId w:val="5"/>
        </w:numPr>
        <w:spacing w:line="240" w:lineRule="auto"/>
        <w:rPr>
          <w:rFonts w:cstheme="minorHAnsi"/>
        </w:rPr>
      </w:pPr>
      <w:r>
        <w:rPr>
          <w:rFonts w:cstheme="minorHAnsi"/>
        </w:rPr>
        <w:t>znaczenie kryterium „Gwarancja” - 40% (0,4)</w:t>
      </w:r>
    </w:p>
    <w:p w14:paraId="7A5C2FD2" w14:textId="77777777" w:rsidR="00D132AA" w:rsidRDefault="00973C77">
      <w:pPr>
        <w:pStyle w:val="Akapitzlist"/>
        <w:numPr>
          <w:ilvl w:val="0"/>
          <w:numId w:val="5"/>
        </w:numPr>
        <w:spacing w:line="240" w:lineRule="auto"/>
        <w:rPr>
          <w:rFonts w:cstheme="minorHAnsi"/>
        </w:rPr>
      </w:pPr>
      <w:r>
        <w:rPr>
          <w:rFonts w:cstheme="minorHAnsi"/>
        </w:rPr>
        <w:t xml:space="preserve">opis sposobu oceny ofert dla kryterium „GWARANCJA” </w:t>
      </w:r>
    </w:p>
    <w:p w14:paraId="3DA37756" w14:textId="77777777" w:rsidR="00D132AA" w:rsidRDefault="00973C77">
      <w:pPr>
        <w:pStyle w:val="Akapitzlist"/>
        <w:spacing w:line="240" w:lineRule="auto"/>
        <w:ind w:left="426"/>
        <w:rPr>
          <w:rFonts w:cstheme="minorHAnsi"/>
        </w:rPr>
      </w:pPr>
      <w:r>
        <w:rPr>
          <w:rFonts w:cstheme="minorHAnsi"/>
        </w:rPr>
        <w:tab/>
      </w:r>
      <w:r>
        <w:rPr>
          <w:rFonts w:cstheme="minorHAnsi"/>
        </w:rPr>
        <w:tab/>
        <w:t xml:space="preserve"> 48 miesięcy gwarancji - 0 punktów,</w:t>
      </w:r>
    </w:p>
    <w:p w14:paraId="432600C6" w14:textId="77777777" w:rsidR="00D132AA" w:rsidRDefault="00973C77">
      <w:pPr>
        <w:pStyle w:val="Akapitzlist"/>
        <w:spacing w:line="240" w:lineRule="auto"/>
        <w:ind w:left="426"/>
        <w:rPr>
          <w:rFonts w:cstheme="minorHAnsi"/>
        </w:rPr>
      </w:pPr>
      <w:r>
        <w:rPr>
          <w:rFonts w:cstheme="minorHAnsi"/>
        </w:rPr>
        <w:tab/>
      </w:r>
      <w:r>
        <w:rPr>
          <w:rFonts w:cstheme="minorHAnsi"/>
        </w:rPr>
        <w:tab/>
        <w:t xml:space="preserve">  od 49 do 60 miesięcy  gwarancji - 5 punktów,</w:t>
      </w:r>
    </w:p>
    <w:p w14:paraId="23F8804D" w14:textId="77777777" w:rsidR="00D132AA" w:rsidRDefault="00973C77">
      <w:pPr>
        <w:pStyle w:val="Akapitzlist"/>
        <w:spacing w:line="240" w:lineRule="auto"/>
        <w:ind w:left="426"/>
        <w:rPr>
          <w:rFonts w:cstheme="minorHAnsi"/>
        </w:rPr>
      </w:pPr>
      <w:r>
        <w:rPr>
          <w:rFonts w:cstheme="minorHAnsi"/>
        </w:rPr>
        <w:tab/>
      </w:r>
      <w:r>
        <w:rPr>
          <w:rFonts w:cstheme="minorHAnsi"/>
        </w:rPr>
        <w:tab/>
        <w:t xml:space="preserve">  od 61  do 72 miesięcy  gwarancji i więcej - 10 punktów.</w:t>
      </w:r>
    </w:p>
    <w:p w14:paraId="0F5ED1AF" w14:textId="77777777" w:rsidR="00D132AA" w:rsidRDefault="00D132AA">
      <w:pPr>
        <w:pStyle w:val="Akapitzlist"/>
        <w:spacing w:line="240" w:lineRule="auto"/>
        <w:ind w:left="426"/>
        <w:rPr>
          <w:rFonts w:cstheme="minorHAnsi"/>
        </w:rPr>
      </w:pPr>
    </w:p>
    <w:p w14:paraId="439ED388" w14:textId="77777777" w:rsidR="00D132AA" w:rsidRDefault="00973C77">
      <w:pPr>
        <w:pStyle w:val="Akapitzlist"/>
        <w:spacing w:line="240" w:lineRule="auto"/>
        <w:ind w:left="426"/>
        <w:rPr>
          <w:rFonts w:cstheme="minorHAnsi"/>
        </w:rPr>
      </w:pPr>
      <w:r>
        <w:rPr>
          <w:rFonts w:cstheme="minorHAnsi"/>
        </w:rPr>
        <w:t xml:space="preserve">Maksymalny oczekiwany przez Zmawiającego okres gwarancji wynosi 72 miesiące.   </w:t>
      </w:r>
    </w:p>
    <w:p w14:paraId="3F25E1A5" w14:textId="77777777" w:rsidR="00D132AA" w:rsidRDefault="00973C77">
      <w:pPr>
        <w:pStyle w:val="Akapitzlist"/>
        <w:spacing w:line="240" w:lineRule="auto"/>
        <w:ind w:left="426"/>
        <w:rPr>
          <w:rFonts w:cstheme="minorHAnsi"/>
        </w:rPr>
      </w:pPr>
      <w:r>
        <w:rPr>
          <w:rFonts w:cstheme="minorHAnsi"/>
        </w:rPr>
        <w:t>Okres gwarancji powyżej 72 miesięcy nie będzie wyżej punktowany.</w:t>
      </w:r>
    </w:p>
    <w:p w14:paraId="2B4E5D98" w14:textId="77777777" w:rsidR="00D132AA" w:rsidRDefault="00D132AA">
      <w:pPr>
        <w:pStyle w:val="Akapitzlist"/>
        <w:spacing w:line="240" w:lineRule="auto"/>
        <w:ind w:left="426"/>
        <w:rPr>
          <w:rFonts w:cstheme="minorHAnsi"/>
        </w:rPr>
      </w:pPr>
    </w:p>
    <w:p w14:paraId="78696436" w14:textId="77777777" w:rsidR="00D132AA" w:rsidRDefault="00973C77">
      <w:pPr>
        <w:pStyle w:val="Akapitzlist"/>
        <w:spacing w:line="240" w:lineRule="auto"/>
        <w:ind w:left="426"/>
        <w:rPr>
          <w:rFonts w:cstheme="minorHAnsi"/>
        </w:rPr>
      </w:pPr>
      <w:r>
        <w:rPr>
          <w:rFonts w:cstheme="minorHAnsi"/>
        </w:rPr>
        <w:t>Otrzymane punkty w kryterium zostaną podstawione do wzoru:</w:t>
      </w:r>
    </w:p>
    <w:p w14:paraId="7E365D34" w14:textId="77777777" w:rsidR="00D132AA" w:rsidRDefault="00973C77">
      <w:pPr>
        <w:pStyle w:val="Akapitzlist"/>
        <w:spacing w:line="240" w:lineRule="auto"/>
        <w:ind w:left="426"/>
        <w:rPr>
          <w:rFonts w:cstheme="minorHAnsi"/>
        </w:rPr>
      </w:pPr>
      <w:r>
        <w:rPr>
          <w:rFonts w:cstheme="minorHAnsi"/>
        </w:rPr>
        <w:t xml:space="preserve"> </w:t>
      </w:r>
    </w:p>
    <w:p w14:paraId="06A2A22F" w14:textId="77777777" w:rsidR="00D132AA" w:rsidRDefault="00973C77">
      <w:pPr>
        <w:pStyle w:val="Akapitzlist"/>
        <w:spacing w:line="240" w:lineRule="auto"/>
        <w:ind w:left="426"/>
        <w:rPr>
          <w:rFonts w:cstheme="minorHAnsi"/>
        </w:rPr>
      </w:pPr>
      <w:r>
        <w:rPr>
          <w:rFonts w:cstheme="minorHAnsi"/>
        </w:rPr>
        <w:t>G  = (Go/</w:t>
      </w:r>
      <w:proofErr w:type="spellStart"/>
      <w:r>
        <w:rPr>
          <w:rFonts w:cstheme="minorHAnsi"/>
        </w:rPr>
        <w:t>Gmax</w:t>
      </w:r>
      <w:proofErr w:type="spellEnd"/>
      <w:r>
        <w:rPr>
          <w:rFonts w:cstheme="minorHAnsi"/>
        </w:rPr>
        <w:t>.) x 0,4 x 100 pkt</w:t>
      </w:r>
    </w:p>
    <w:p w14:paraId="28349627" w14:textId="77777777" w:rsidR="00D132AA" w:rsidRDefault="00973C77">
      <w:pPr>
        <w:pStyle w:val="Akapitzlist"/>
        <w:spacing w:line="240" w:lineRule="auto"/>
        <w:ind w:left="426"/>
        <w:rPr>
          <w:rFonts w:cstheme="minorHAnsi"/>
        </w:rPr>
      </w:pPr>
      <w:r>
        <w:rPr>
          <w:rFonts w:cstheme="minorHAnsi"/>
        </w:rPr>
        <w:t>gdzie:</w:t>
      </w:r>
    </w:p>
    <w:p w14:paraId="04712F09" w14:textId="77777777" w:rsidR="00D132AA" w:rsidRDefault="00973C77">
      <w:pPr>
        <w:pStyle w:val="Akapitzlist"/>
        <w:spacing w:line="240" w:lineRule="auto"/>
        <w:ind w:left="426"/>
        <w:rPr>
          <w:rFonts w:cstheme="minorHAnsi"/>
        </w:rPr>
      </w:pPr>
      <w:r>
        <w:rPr>
          <w:rFonts w:cstheme="minorHAnsi"/>
        </w:rPr>
        <w:t>G  - liczba uzyskanych punktów dla kryterium „gwarancja” ocenianej oferty</w:t>
      </w:r>
    </w:p>
    <w:p w14:paraId="05263015" w14:textId="77777777" w:rsidR="00D132AA" w:rsidRDefault="00973C77">
      <w:pPr>
        <w:pStyle w:val="Akapitzlist"/>
        <w:spacing w:line="240" w:lineRule="auto"/>
        <w:ind w:left="426"/>
        <w:rPr>
          <w:rFonts w:cstheme="minorHAnsi"/>
        </w:rPr>
      </w:pPr>
      <w:proofErr w:type="spellStart"/>
      <w:r>
        <w:rPr>
          <w:rFonts w:cstheme="minorHAnsi"/>
        </w:rPr>
        <w:t>Gmax</w:t>
      </w:r>
      <w:proofErr w:type="spellEnd"/>
      <w:r>
        <w:rPr>
          <w:rFonts w:cstheme="minorHAnsi"/>
        </w:rPr>
        <w:t xml:space="preserve">.- najwyższa przewidziana liczba punktów dla kryterium „gwarancja”                                                   z największą   ilością  punktów z badanych ofert </w:t>
      </w:r>
    </w:p>
    <w:p w14:paraId="250F57DE" w14:textId="77777777" w:rsidR="00D132AA" w:rsidRDefault="00973C77">
      <w:pPr>
        <w:pStyle w:val="Akapitzlist"/>
        <w:spacing w:line="240" w:lineRule="auto"/>
        <w:ind w:left="426"/>
        <w:rPr>
          <w:rFonts w:cstheme="minorHAnsi"/>
        </w:rPr>
      </w:pPr>
      <w:r>
        <w:rPr>
          <w:rFonts w:cstheme="minorHAnsi"/>
        </w:rPr>
        <w:t xml:space="preserve">Go –  liczba punktów dla kryterium: „gwarancja” oferty ocenianej </w:t>
      </w:r>
    </w:p>
    <w:p w14:paraId="58AAA901" w14:textId="77777777" w:rsidR="00D132AA" w:rsidRDefault="00D132AA">
      <w:pPr>
        <w:pStyle w:val="Akapitzlist"/>
        <w:spacing w:line="240" w:lineRule="auto"/>
        <w:ind w:left="426"/>
        <w:rPr>
          <w:rFonts w:cstheme="minorHAnsi"/>
        </w:rPr>
      </w:pPr>
    </w:p>
    <w:p w14:paraId="26225E89" w14:textId="77777777" w:rsidR="00D132AA" w:rsidRDefault="00973C77">
      <w:pPr>
        <w:pStyle w:val="Akapitzlist"/>
        <w:spacing w:line="240" w:lineRule="auto"/>
        <w:ind w:left="426"/>
        <w:rPr>
          <w:rFonts w:cstheme="minorHAnsi"/>
        </w:rPr>
      </w:pPr>
      <w:r>
        <w:rPr>
          <w:rFonts w:cstheme="minorHAnsi"/>
        </w:rPr>
        <w:t xml:space="preserve">Otrzymane punkty z dwóch kryteriów zostaną zsumowane. </w:t>
      </w:r>
    </w:p>
    <w:p w14:paraId="0F917913" w14:textId="77777777" w:rsidR="00D132AA" w:rsidRDefault="00973C77">
      <w:pPr>
        <w:spacing w:line="240" w:lineRule="auto"/>
        <w:ind w:left="284" w:hanging="284"/>
        <w:contextualSpacing/>
        <w:jc w:val="both"/>
        <w:rPr>
          <w:rFonts w:cstheme="minorHAnsi"/>
        </w:rPr>
      </w:pPr>
      <w:r>
        <w:rPr>
          <w:rFonts w:cstheme="minorHAnsi"/>
        </w:rPr>
        <w:t>2) Jeżeli nie można wybrać najkorzystniejszej oferty z uwagi na to, że dwie lub więcej ofert przedstawia taki sam bilans ceny  i innych kryteriów oceny ofert, Zamawiający wybiera spośród tych ofert ofertę, która otrzymała najwyższą ocenę w kryterium o najwyższej wadze.</w:t>
      </w:r>
    </w:p>
    <w:p w14:paraId="5ADE966E" w14:textId="77777777" w:rsidR="00D132AA" w:rsidRDefault="00973C77">
      <w:pPr>
        <w:spacing w:line="240" w:lineRule="auto"/>
        <w:ind w:left="284" w:hanging="284"/>
        <w:contextualSpacing/>
        <w:jc w:val="both"/>
        <w:rPr>
          <w:rFonts w:cstheme="minorHAnsi"/>
        </w:rPr>
      </w:pPr>
      <w:r>
        <w:rPr>
          <w:rFonts w:cstheme="minorHAnsi"/>
        </w:rPr>
        <w:t xml:space="preserve">3) Jeżeli nie można dokonać wyboru w sposób, o którym mowa w pkt. 2 Zamawiający wzywa Wykonawców, którzy złożyli te oferty, do złożenia w terminie określonym przez Zamawiającego ofert dodatkowych zawierających nową cenę. </w:t>
      </w:r>
    </w:p>
    <w:p w14:paraId="3F509379" w14:textId="57EF495B" w:rsidR="00D132AA" w:rsidRDefault="00973C77" w:rsidP="00E151E6">
      <w:pPr>
        <w:pStyle w:val="Akapitzlist"/>
        <w:spacing w:line="240" w:lineRule="auto"/>
        <w:ind w:left="284" w:hanging="284"/>
        <w:rPr>
          <w:rFonts w:cstheme="minorHAnsi"/>
        </w:rPr>
      </w:pPr>
      <w:r>
        <w:rPr>
          <w:rFonts w:cstheme="minorHAnsi"/>
        </w:rPr>
        <w:t>4)</w:t>
      </w:r>
      <w:r>
        <w:rPr>
          <w:rFonts w:cstheme="minorHAnsi"/>
        </w:rPr>
        <w:tab/>
        <w:t>Wykonawcy składając oferty dodatkowe, nie mogą oferować cen wyższych niż zaoferowane                w uprzednio złożonych przez nich ofertach.</w:t>
      </w:r>
    </w:p>
    <w:p w14:paraId="11DE05B9" w14:textId="0D8E3FA2" w:rsidR="00E151E6" w:rsidRDefault="00E151E6" w:rsidP="00E151E6">
      <w:pPr>
        <w:pStyle w:val="Akapitzlist"/>
        <w:spacing w:line="240" w:lineRule="auto"/>
        <w:ind w:left="284" w:hanging="284"/>
        <w:rPr>
          <w:rFonts w:cstheme="minorHAnsi"/>
        </w:rPr>
      </w:pPr>
    </w:p>
    <w:p w14:paraId="252BF0E3" w14:textId="21C4EF70" w:rsidR="00E151E6" w:rsidRDefault="00E151E6" w:rsidP="00E151E6">
      <w:pPr>
        <w:pStyle w:val="Akapitzlist"/>
        <w:spacing w:line="240" w:lineRule="auto"/>
        <w:ind w:left="284" w:hanging="284"/>
        <w:rPr>
          <w:rFonts w:cstheme="minorHAnsi"/>
        </w:rPr>
      </w:pPr>
    </w:p>
    <w:p w14:paraId="1B224D4B" w14:textId="77777777" w:rsidR="00E151E6" w:rsidRPr="00E151E6" w:rsidRDefault="00E151E6" w:rsidP="00E151E6">
      <w:pPr>
        <w:pStyle w:val="Akapitzlist"/>
        <w:spacing w:line="240" w:lineRule="auto"/>
        <w:ind w:left="284" w:hanging="284"/>
        <w:rPr>
          <w:rFonts w:cstheme="minorHAnsi"/>
        </w:rPr>
      </w:pPr>
    </w:p>
    <w:p w14:paraId="11365CA8" w14:textId="77777777" w:rsidR="00D132AA" w:rsidRDefault="00973C77">
      <w:pPr>
        <w:pStyle w:val="Akapitzlist"/>
        <w:numPr>
          <w:ilvl w:val="0"/>
          <w:numId w:val="1"/>
        </w:numPr>
        <w:spacing w:line="240" w:lineRule="auto"/>
        <w:ind w:left="426" w:hanging="284"/>
        <w:rPr>
          <w:b/>
          <w:bCs/>
        </w:rPr>
      </w:pPr>
      <w:r>
        <w:rPr>
          <w:b/>
          <w:bCs/>
        </w:rPr>
        <w:lastRenderedPageBreak/>
        <w:t>TERMIN I SPOSÓB SKŁADANIA OFERT</w:t>
      </w:r>
    </w:p>
    <w:p w14:paraId="6D8D4862" w14:textId="77777777" w:rsidR="00D132AA" w:rsidRDefault="00D132AA">
      <w:pPr>
        <w:pStyle w:val="Akapitzlist"/>
        <w:spacing w:line="240" w:lineRule="auto"/>
        <w:ind w:left="426"/>
        <w:rPr>
          <w:b/>
          <w:bCs/>
          <w:color w:val="C00000"/>
        </w:rPr>
      </w:pPr>
    </w:p>
    <w:p w14:paraId="601ED002" w14:textId="1463EE3A" w:rsidR="00D132AA" w:rsidRDefault="00973C77">
      <w:pPr>
        <w:pStyle w:val="Akapitzlist"/>
        <w:numPr>
          <w:ilvl w:val="0"/>
          <w:numId w:val="6"/>
        </w:numPr>
        <w:spacing w:line="240" w:lineRule="auto"/>
        <w:jc w:val="both"/>
      </w:pPr>
      <w:r>
        <w:t>Oferty złożyć  należy w terminie do dnia 1</w:t>
      </w:r>
      <w:r w:rsidR="009243FB">
        <w:t>6</w:t>
      </w:r>
      <w:r>
        <w:t xml:space="preserve"> lipca 2024 r.</w:t>
      </w:r>
    </w:p>
    <w:p w14:paraId="191ED909" w14:textId="77777777" w:rsidR="00D132AA" w:rsidRDefault="00973C77">
      <w:pPr>
        <w:pStyle w:val="Akapitzlist"/>
        <w:numPr>
          <w:ilvl w:val="0"/>
          <w:numId w:val="6"/>
        </w:numPr>
        <w:spacing w:line="240" w:lineRule="auto"/>
        <w:jc w:val="both"/>
      </w:pPr>
      <w:r>
        <w:t>Wykonawca może złożyć tylko jedną ofertę.</w:t>
      </w:r>
    </w:p>
    <w:p w14:paraId="4F78EEDB" w14:textId="77777777" w:rsidR="00D132AA" w:rsidRDefault="00973C77">
      <w:pPr>
        <w:pStyle w:val="Akapitzlist"/>
        <w:numPr>
          <w:ilvl w:val="0"/>
          <w:numId w:val="6"/>
        </w:numPr>
        <w:spacing w:line="240" w:lineRule="auto"/>
        <w:jc w:val="both"/>
      </w:pPr>
      <w:r>
        <w:t>Oferta powinna być sporządzona w języku polskim. Każdy dokument składający się na ofertę powinien być czytelny. W przypadku załączenia dokumentów sporządzonych w innym języku niż dopuszczony w niniejszym postępowaniu, Wykonawca zobowiązany jest załączyć tłumaczenie na język polski.</w:t>
      </w:r>
    </w:p>
    <w:p w14:paraId="6D70376D" w14:textId="77777777" w:rsidR="00D132AA" w:rsidRDefault="00973C77">
      <w:pPr>
        <w:pStyle w:val="Akapitzlist"/>
        <w:numPr>
          <w:ilvl w:val="0"/>
          <w:numId w:val="6"/>
        </w:numPr>
        <w:spacing w:line="240" w:lineRule="auto"/>
        <w:jc w:val="both"/>
      </w:pPr>
      <w:r>
        <w:t>Oferty należy składać  za pośrednictwem  Bazy konkurencyjności.</w:t>
      </w:r>
    </w:p>
    <w:p w14:paraId="050B31B5" w14:textId="77777777" w:rsidR="00D132AA" w:rsidRDefault="00973C77">
      <w:pPr>
        <w:pStyle w:val="Akapitzlist"/>
        <w:numPr>
          <w:ilvl w:val="0"/>
          <w:numId w:val="6"/>
        </w:numPr>
        <w:spacing w:line="240" w:lineRule="auto"/>
        <w:jc w:val="both"/>
      </w:pPr>
      <w:r>
        <w:t xml:space="preserve">Uzyskanie dostępu do Bazy konkurencyjności wymaga rejestracji polegającej na uzupełnieniu formularza i kliknięciu na link aktywacyjny wysłany na adres mailowy podany w formularzu.    </w:t>
      </w:r>
    </w:p>
    <w:p w14:paraId="197EAFD1" w14:textId="77777777" w:rsidR="00D132AA" w:rsidRDefault="00973C77">
      <w:pPr>
        <w:pStyle w:val="Akapitzlist"/>
        <w:numPr>
          <w:ilvl w:val="0"/>
          <w:numId w:val="6"/>
        </w:numPr>
        <w:spacing w:line="240" w:lineRule="auto"/>
        <w:jc w:val="both"/>
      </w:pPr>
      <w:r>
        <w:t xml:space="preserve"> O terminie złożenia oferty decyduje czas ostatecznego wysłania oferty, a nie czas rozpoczęcia jej wprowadzenia.</w:t>
      </w:r>
    </w:p>
    <w:p w14:paraId="2C2BAE35" w14:textId="77777777" w:rsidR="00D132AA" w:rsidRDefault="00973C77">
      <w:pPr>
        <w:pStyle w:val="Akapitzlist"/>
        <w:numPr>
          <w:ilvl w:val="0"/>
          <w:numId w:val="6"/>
        </w:numPr>
        <w:spacing w:line="240" w:lineRule="auto"/>
        <w:jc w:val="both"/>
      </w:pPr>
      <w:r>
        <w:t>Oferta złożona po terminie zostanie odrzucona.</w:t>
      </w:r>
    </w:p>
    <w:p w14:paraId="22C6F375" w14:textId="77777777" w:rsidR="00D132AA" w:rsidRDefault="00973C77">
      <w:pPr>
        <w:pStyle w:val="Akapitzlist"/>
        <w:numPr>
          <w:ilvl w:val="0"/>
          <w:numId w:val="6"/>
        </w:numPr>
        <w:spacing w:line="240" w:lineRule="auto"/>
        <w:jc w:val="both"/>
      </w:pPr>
      <w:r>
        <w:t xml:space="preserve">Aktualna wersja systemu Baza Konkurencyjności 2021 (BK2021 lub „nowa” Baza). Znajduje się pod adresem internetowym: </w:t>
      </w:r>
      <w:hyperlink r:id="rId8">
        <w:r>
          <w:rPr>
            <w:rStyle w:val="Hipercze"/>
          </w:rPr>
          <w:t>https://bazakonkurencyjnosci.funduszeeuropejskie.gov.pl/</w:t>
        </w:r>
      </w:hyperlink>
      <w:r>
        <w:t xml:space="preserve"> .</w:t>
      </w:r>
    </w:p>
    <w:p w14:paraId="45769EEE" w14:textId="77777777" w:rsidR="00D132AA" w:rsidRDefault="00973C77">
      <w:pPr>
        <w:pStyle w:val="Akapitzlist"/>
        <w:numPr>
          <w:ilvl w:val="0"/>
          <w:numId w:val="6"/>
        </w:numPr>
        <w:spacing w:line="240" w:lineRule="auto"/>
        <w:jc w:val="both"/>
      </w:pPr>
      <w:r>
        <w:t xml:space="preserve">Regulaminem Bazy Konkurencyjności Funduszy Europejskich znajduje się pod adresem internetowym: </w:t>
      </w:r>
      <w:hyperlink r:id="rId9">
        <w:r>
          <w:rPr>
            <w:rStyle w:val="Hipercze"/>
          </w:rPr>
          <w:t>https://bazakonkurencyjnosci.funduszeeuropejskie.gov.pl/regulamin</w:t>
        </w:r>
      </w:hyperlink>
      <w:r>
        <w:t xml:space="preserve">   </w:t>
      </w:r>
    </w:p>
    <w:p w14:paraId="72BBD89D" w14:textId="77777777" w:rsidR="00D132AA" w:rsidRDefault="00973C77">
      <w:pPr>
        <w:pStyle w:val="Akapitzlist"/>
        <w:numPr>
          <w:ilvl w:val="0"/>
          <w:numId w:val="6"/>
        </w:numPr>
        <w:spacing w:line="240" w:lineRule="auto"/>
        <w:jc w:val="both"/>
      </w:pPr>
      <w:r>
        <w:t xml:space="preserve"> Informacje dotyczące  działania  Bazy Konkurencyjności  umieszczone są pod linkiem: </w:t>
      </w:r>
      <w:hyperlink r:id="rId10">
        <w:r>
          <w:rPr>
            <w:rStyle w:val="Hipercze"/>
          </w:rPr>
          <w:t>https://bazakonkurencyjnosci.funduszeeuropejskie.gov.pl/pomoc</w:t>
        </w:r>
      </w:hyperlink>
      <w:r>
        <w:t xml:space="preserve"> </w:t>
      </w:r>
    </w:p>
    <w:p w14:paraId="2B71FC2B" w14:textId="77777777" w:rsidR="00D132AA" w:rsidRDefault="00973C77">
      <w:pPr>
        <w:pStyle w:val="Akapitzlist"/>
        <w:numPr>
          <w:ilvl w:val="0"/>
          <w:numId w:val="6"/>
        </w:numPr>
        <w:spacing w:line="240" w:lineRule="auto"/>
        <w:jc w:val="both"/>
      </w:pPr>
      <w:r>
        <w:t xml:space="preserve">Składanie ofert oraz wymiana informacji między Zamawiającym, a Wykonawcą (zadawanie pytań i udzielanie odpowiedzi) oraz przekazywanie dokumentów i oświadczeń  odbywa się pisemnie  </w:t>
      </w:r>
      <w:r>
        <w:rPr>
          <w:b/>
          <w:bCs/>
        </w:rPr>
        <w:t>wyłącznie</w:t>
      </w:r>
      <w:r>
        <w:t xml:space="preserve"> poprzez BK2021</w:t>
      </w:r>
      <w:r>
        <w:rPr>
          <w:b/>
          <w:bCs/>
        </w:rPr>
        <w:t xml:space="preserve">. </w:t>
      </w:r>
    </w:p>
    <w:p w14:paraId="4EE3BE49" w14:textId="77777777" w:rsidR="00D132AA" w:rsidRDefault="00973C77">
      <w:pPr>
        <w:pStyle w:val="Akapitzlist"/>
        <w:numPr>
          <w:ilvl w:val="0"/>
          <w:numId w:val="6"/>
        </w:numPr>
        <w:jc w:val="both"/>
      </w:pPr>
      <w:r>
        <w:t xml:space="preserve">W przypadku zawieszenia działalności BK2021 potwierdzonego odpowiednim komunikatem                  w BK2021, Zamawiający dopuszcza komunikację za pomocą poczty elektronicznej na adres                   e-mail: </w:t>
      </w:r>
      <w:hyperlink r:id="rId11">
        <w:r>
          <w:rPr>
            <w:rStyle w:val="Hipercze"/>
          </w:rPr>
          <w:t>inwestycje@libertador.pl</w:t>
        </w:r>
      </w:hyperlink>
      <w:r>
        <w:t xml:space="preserve"> </w:t>
      </w:r>
    </w:p>
    <w:p w14:paraId="1207C6FF" w14:textId="77777777" w:rsidR="00D132AA" w:rsidRDefault="00973C77">
      <w:pPr>
        <w:pStyle w:val="Akapitzlist"/>
        <w:numPr>
          <w:ilvl w:val="0"/>
          <w:numId w:val="6"/>
        </w:numPr>
        <w:spacing w:line="240" w:lineRule="auto"/>
        <w:jc w:val="both"/>
        <w:rPr>
          <w:color w:val="C00000"/>
        </w:rPr>
      </w:pPr>
      <w:r>
        <w:t>Ofertę należy opatrzyć:  kwalifikowanym podpisem elektronicznym lub podpisem zaufanym lub podpisem osobistym</w:t>
      </w:r>
      <w:r>
        <w:rPr>
          <w:color w:val="C00000"/>
        </w:rPr>
        <w:t xml:space="preserve">. </w:t>
      </w:r>
    </w:p>
    <w:p w14:paraId="4F69DB42" w14:textId="3C9EEF68" w:rsidR="00D132AA" w:rsidRDefault="00973C77">
      <w:pPr>
        <w:pStyle w:val="Akapitzlist"/>
        <w:numPr>
          <w:ilvl w:val="0"/>
          <w:numId w:val="6"/>
        </w:numPr>
        <w:spacing w:line="240" w:lineRule="auto"/>
        <w:jc w:val="both"/>
        <w:rPr>
          <w:color w:val="C00000"/>
        </w:rPr>
      </w:pPr>
      <w:r>
        <w:t xml:space="preserve">Ofertę złożyć należy na formularzu stanowiącym </w:t>
      </w:r>
      <w:r>
        <w:rPr>
          <w:b/>
          <w:bCs/>
        </w:rPr>
        <w:t xml:space="preserve">Załącznik </w:t>
      </w:r>
      <w:r w:rsidR="000C0258">
        <w:rPr>
          <w:b/>
          <w:bCs/>
        </w:rPr>
        <w:t>6</w:t>
      </w:r>
      <w:r>
        <w:t xml:space="preserve"> do zapytania ofertowego.</w:t>
      </w:r>
    </w:p>
    <w:p w14:paraId="2B0D5CC7" w14:textId="77777777" w:rsidR="00D132AA" w:rsidRDefault="00973C77">
      <w:pPr>
        <w:pStyle w:val="Akapitzlist"/>
        <w:numPr>
          <w:ilvl w:val="0"/>
          <w:numId w:val="6"/>
        </w:numPr>
        <w:spacing w:line="240" w:lineRule="auto"/>
        <w:jc w:val="both"/>
      </w:pPr>
      <w:r>
        <w:t>Jeżeli w imieniu Wykonawcy działa osoba, której umocowanie do jego reprezentowania nie wynika z odpisu lub informacji z Krajowego Rejestru Sądowego, Centralnej Ewidencji                                        i Informacji o Działalności Gospodarczej lub innego właściwego rejestru, Zamawiający żąda od Wykonawcy pełnomocnictwa lub innego dokumentu potwierdzającego umocowanie do reprezentowania Wykonawcy.</w:t>
      </w:r>
    </w:p>
    <w:p w14:paraId="3AAD040D" w14:textId="77777777" w:rsidR="00D132AA" w:rsidRDefault="00973C77">
      <w:pPr>
        <w:pStyle w:val="Akapitzlist"/>
        <w:numPr>
          <w:ilvl w:val="0"/>
          <w:numId w:val="6"/>
        </w:numPr>
        <w:jc w:val="both"/>
      </w:pPr>
      <w:r>
        <w:t>Wykonawcy składający ofertę wspólną ustanawiają pełnomocnika do reprezentowania ich               w postępowaniu o udzielenie zamówienia albo reprezentowania w postępowaniu i zawarcia umowy.</w:t>
      </w:r>
    </w:p>
    <w:p w14:paraId="1A8144AF" w14:textId="77777777" w:rsidR="00D132AA" w:rsidRDefault="00973C77">
      <w:pPr>
        <w:pStyle w:val="Akapitzlist"/>
        <w:numPr>
          <w:ilvl w:val="0"/>
          <w:numId w:val="6"/>
        </w:numPr>
        <w:spacing w:line="240" w:lineRule="auto"/>
        <w:jc w:val="both"/>
      </w:pPr>
      <w:r>
        <w:t>Do oferty wspólnej Wykonawcy dołączają pełnomocnictwo.</w:t>
      </w:r>
    </w:p>
    <w:p w14:paraId="6C34BEDE" w14:textId="77777777" w:rsidR="00D132AA" w:rsidRDefault="00973C77">
      <w:pPr>
        <w:pStyle w:val="Akapitzlist"/>
        <w:numPr>
          <w:ilvl w:val="0"/>
          <w:numId w:val="6"/>
        </w:numPr>
        <w:spacing w:line="240" w:lineRule="auto"/>
        <w:jc w:val="both"/>
      </w:pPr>
      <w:r>
        <w:t xml:space="preserve">Osobą uprawnioną przez Zamawiającego do komunikowania się z Wykonawcami jest                    </w:t>
      </w:r>
      <w:r>
        <w:rPr>
          <w:b/>
          <w:bCs/>
        </w:rPr>
        <w:t>pani Katarzyna Markowska.</w:t>
      </w:r>
    </w:p>
    <w:p w14:paraId="3E8B4DEC" w14:textId="77777777" w:rsidR="00D132AA" w:rsidRDefault="00D132AA">
      <w:pPr>
        <w:pStyle w:val="Akapitzlist"/>
        <w:spacing w:line="240" w:lineRule="auto"/>
        <w:jc w:val="both"/>
      </w:pPr>
    </w:p>
    <w:p w14:paraId="01393992" w14:textId="77777777" w:rsidR="00D132AA" w:rsidRDefault="00973C77">
      <w:pPr>
        <w:pStyle w:val="Akapitzlist"/>
        <w:numPr>
          <w:ilvl w:val="0"/>
          <w:numId w:val="1"/>
        </w:numPr>
        <w:spacing w:line="240" w:lineRule="auto"/>
        <w:ind w:left="426" w:hanging="284"/>
        <w:rPr>
          <w:b/>
          <w:bCs/>
        </w:rPr>
      </w:pPr>
      <w:r>
        <w:rPr>
          <w:b/>
          <w:bCs/>
        </w:rPr>
        <w:t>TERMIN WYKONANIA ZAMÓWIENIA</w:t>
      </w:r>
    </w:p>
    <w:p w14:paraId="0B62398F" w14:textId="77777777" w:rsidR="00D132AA" w:rsidRDefault="00973C77">
      <w:pPr>
        <w:pStyle w:val="Akapitzlist"/>
        <w:spacing w:line="240" w:lineRule="auto"/>
        <w:ind w:left="426"/>
        <w:rPr>
          <w:b/>
          <w:bCs/>
        </w:rPr>
      </w:pPr>
      <w:r>
        <w:rPr>
          <w:b/>
          <w:bCs/>
        </w:rPr>
        <w:t xml:space="preserve"> </w:t>
      </w:r>
    </w:p>
    <w:p w14:paraId="5246DA2C" w14:textId="77777777" w:rsidR="00D132AA" w:rsidRDefault="00973C77">
      <w:pPr>
        <w:pStyle w:val="Akapitzlist"/>
        <w:spacing w:line="240" w:lineRule="auto"/>
        <w:ind w:left="426"/>
        <w:jc w:val="both"/>
      </w:pPr>
      <w:r>
        <w:t xml:space="preserve">Zamówienie wykonać należy w terminie  </w:t>
      </w:r>
      <w:r>
        <w:rPr>
          <w:b/>
          <w:bCs/>
        </w:rPr>
        <w:t>90 dni</w:t>
      </w:r>
      <w:r>
        <w:t xml:space="preserve">  od dnia zawarcia umowy na jego realizację.</w:t>
      </w:r>
    </w:p>
    <w:p w14:paraId="032CAA4F" w14:textId="392F0058" w:rsidR="00D132AA" w:rsidRDefault="00973C77">
      <w:pPr>
        <w:pStyle w:val="Akapitzlist"/>
        <w:spacing w:line="240" w:lineRule="auto"/>
        <w:ind w:left="426"/>
        <w:jc w:val="both"/>
      </w:pPr>
      <w:r>
        <w:t>Zamówienie uważa się za wykonane po</w:t>
      </w:r>
      <w:r w:rsidR="00E151E6">
        <w:t xml:space="preserve"> </w:t>
      </w:r>
      <w:r>
        <w:t xml:space="preserve">podpisaniu bezusterkowego protokołu odbioru przedmiotu zamówienia. </w:t>
      </w:r>
    </w:p>
    <w:p w14:paraId="638E4C19" w14:textId="77777777" w:rsidR="00D132AA" w:rsidRDefault="00D132AA">
      <w:pPr>
        <w:pStyle w:val="Akapitzlist"/>
        <w:spacing w:line="240" w:lineRule="auto"/>
        <w:ind w:left="426"/>
      </w:pPr>
    </w:p>
    <w:p w14:paraId="650A4C26" w14:textId="77777777" w:rsidR="00D132AA" w:rsidRDefault="00973C77">
      <w:pPr>
        <w:pStyle w:val="Akapitzlist"/>
        <w:numPr>
          <w:ilvl w:val="0"/>
          <w:numId w:val="1"/>
        </w:numPr>
        <w:spacing w:line="240" w:lineRule="auto"/>
        <w:ind w:left="426" w:hanging="284"/>
        <w:rPr>
          <w:b/>
          <w:bCs/>
        </w:rPr>
      </w:pPr>
      <w:r>
        <w:rPr>
          <w:b/>
          <w:bCs/>
        </w:rPr>
        <w:t>INFORMACJA NA TEMAT BRAKU  KONFLIKTU INTERESÓW</w:t>
      </w:r>
    </w:p>
    <w:p w14:paraId="57184251" w14:textId="77777777" w:rsidR="00D132AA" w:rsidRDefault="00D132AA">
      <w:pPr>
        <w:pStyle w:val="Akapitzlist"/>
        <w:spacing w:line="240" w:lineRule="auto"/>
        <w:ind w:left="426"/>
        <w:rPr>
          <w:b/>
          <w:bCs/>
        </w:rPr>
      </w:pPr>
    </w:p>
    <w:p w14:paraId="58B50892" w14:textId="5A2486FF" w:rsidR="00D132AA" w:rsidRDefault="00973C77">
      <w:pPr>
        <w:pStyle w:val="Akapitzlist"/>
        <w:numPr>
          <w:ilvl w:val="0"/>
          <w:numId w:val="10"/>
        </w:numPr>
        <w:spacing w:line="240" w:lineRule="auto"/>
        <w:ind w:left="851" w:hanging="425"/>
        <w:jc w:val="both"/>
      </w:pPr>
      <w:r>
        <w:t xml:space="preserve">Zgodnie z definicją w art. 24 Dyrektywy 2014/24/UE oraz motywie 16 jej preambuły,  pojęcie konfliktu interesów obejmuje „co najmniej każdą sytuację, w której członkowie personelu </w:t>
      </w:r>
      <w:r>
        <w:lastRenderedPageBreak/>
        <w:t>instytucji zamawiającej lub dostawcy usług w zakresie obsługi zamówień działającego w</w:t>
      </w:r>
      <w:r w:rsidR="00E151E6">
        <w:t> </w:t>
      </w:r>
      <w:r>
        <w:t xml:space="preserve">imieniu instytucji zamawiającej biorący udział w prowadzeniu postępowania o udzielenie zamówienia lub mogący wpłynąć na wynik tego postępowania mają, bezpośrednio lub pośrednio, interes finansowy, ekonomiczny lub inny interes osobisty, który postrzegać można jako zagrażający ich bezstronności i niezależności w związku z postępowaniem o udzielenie zamówienia”.  </w:t>
      </w:r>
    </w:p>
    <w:p w14:paraId="3416BF80" w14:textId="77777777" w:rsidR="00D132AA" w:rsidRDefault="00973C77">
      <w:pPr>
        <w:pStyle w:val="Akapitzlist"/>
        <w:numPr>
          <w:ilvl w:val="0"/>
          <w:numId w:val="10"/>
        </w:numPr>
        <w:spacing w:line="240" w:lineRule="auto"/>
        <w:ind w:left="851" w:hanging="425"/>
        <w:jc w:val="both"/>
      </w:pPr>
      <w:r>
        <w:t xml:space="preserve">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 polegające                                          w szczególności na: </w:t>
      </w:r>
    </w:p>
    <w:p w14:paraId="67BD7201" w14:textId="77777777" w:rsidR="00D132AA" w:rsidRDefault="00973C77">
      <w:pPr>
        <w:pStyle w:val="Akapitzlist"/>
        <w:spacing w:line="240" w:lineRule="auto"/>
        <w:ind w:left="1134" w:hanging="283"/>
        <w:jc w:val="both"/>
      </w:pPr>
      <w:r>
        <w:t xml:space="preserve">a) uczestniczeniu w spółce jako wspólnik spółki cywilnej lub spółki osobowej, posiadaniu co najmniej 10% udziałów lub akcji (o ile niższy próg nie wynika z przepisów prawa), pełnieniu funkcji członka organu nadzorczego lub zarządzającego, prokurenta, pełnomocnika, </w:t>
      </w:r>
    </w:p>
    <w:p w14:paraId="69CB8EC4" w14:textId="77777777" w:rsidR="00D132AA" w:rsidRDefault="00973C77">
      <w:pPr>
        <w:pStyle w:val="Akapitzlist"/>
        <w:spacing w:line="240" w:lineRule="auto"/>
        <w:ind w:left="1134" w:hanging="283"/>
        <w:jc w:val="both"/>
      </w:pPr>
      <w:r>
        <w:t xml:space="preserve">b) 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  </w:t>
      </w:r>
    </w:p>
    <w:p w14:paraId="4130DF74" w14:textId="77777777" w:rsidR="00D132AA" w:rsidRDefault="00973C77">
      <w:pPr>
        <w:pStyle w:val="Akapitzlist"/>
        <w:spacing w:line="240" w:lineRule="auto"/>
        <w:ind w:left="1134" w:hanging="283"/>
        <w:jc w:val="both"/>
      </w:pPr>
      <w:r>
        <w:t>c) pozostawaniu z Wykonawcą w takim stosunku prawnym lub faktycznym, że istnieje uzasadniona wątpliwość co do ich bezstronności lub niezależności w związku                                           z postępowaniem o udzielenie zamówienia.</w:t>
      </w:r>
    </w:p>
    <w:p w14:paraId="0AF92E59" w14:textId="04F6F240" w:rsidR="00D132AA" w:rsidRDefault="00973C77">
      <w:pPr>
        <w:spacing w:line="240" w:lineRule="auto"/>
        <w:ind w:left="851" w:hanging="425"/>
        <w:jc w:val="both"/>
        <w:rPr>
          <w:b/>
          <w:bCs/>
        </w:rPr>
      </w:pPr>
      <w:r>
        <w:t>3)  W celu  zapewniania bezstronności i obiektywizmu zgodnie z zasadą konkurencyjności Wykonawca wraz z ofertą  zobowiązany jest do złożenia oświadczenia o braku powiązań kapitałowych  lub osobowych (</w:t>
      </w:r>
      <w:r>
        <w:rPr>
          <w:b/>
          <w:bCs/>
        </w:rPr>
        <w:t xml:space="preserve">Załącznik </w:t>
      </w:r>
      <w:r w:rsidR="000C0258">
        <w:rPr>
          <w:b/>
          <w:bCs/>
        </w:rPr>
        <w:t>7</w:t>
      </w:r>
      <w:r>
        <w:rPr>
          <w:b/>
          <w:bCs/>
        </w:rPr>
        <w:t xml:space="preserve"> do zapytania ofertowego</w:t>
      </w:r>
      <w:r>
        <w:t>).</w:t>
      </w:r>
    </w:p>
    <w:p w14:paraId="1473D192" w14:textId="77777777" w:rsidR="00D132AA" w:rsidRDefault="00973C77">
      <w:pPr>
        <w:spacing w:line="240" w:lineRule="auto"/>
        <w:ind w:left="851" w:hanging="425"/>
        <w:jc w:val="both"/>
      </w:pPr>
      <w:r>
        <w:t xml:space="preserve">4)   Wykonawcy powiązani z Zamawiającym kapitałowo lub osobowo zostaną wykluczeni z udziału w postępowaniu. </w:t>
      </w:r>
    </w:p>
    <w:p w14:paraId="3A3B7B39" w14:textId="77777777" w:rsidR="00D132AA" w:rsidRDefault="00973C77">
      <w:pPr>
        <w:pStyle w:val="Akapitzlist"/>
        <w:numPr>
          <w:ilvl w:val="0"/>
          <w:numId w:val="1"/>
        </w:numPr>
        <w:spacing w:line="240" w:lineRule="auto"/>
        <w:jc w:val="both"/>
      </w:pPr>
      <w:r>
        <w:rPr>
          <w:b/>
          <w:bCs/>
        </w:rPr>
        <w:t>PRZESŁANKI WYKLUCZENIA ROSYJSKICH WYKONAWCÓW Z ZAMÓWIEŃ PUBLICZNYCH                              W CELU PRZECIWDZIAŁANIA WSPIERANU AGRESJI FEDERACJI ROSYJSKIEJ NA UKRAINĘ</w:t>
      </w:r>
    </w:p>
    <w:p w14:paraId="16F3017E" w14:textId="77777777" w:rsidR="00D132AA" w:rsidRDefault="00973C77">
      <w:pPr>
        <w:pStyle w:val="Akapitzlist"/>
        <w:spacing w:line="240" w:lineRule="auto"/>
        <w:jc w:val="both"/>
      </w:pPr>
      <w:r>
        <w:rPr>
          <w:b/>
          <w:bCs/>
        </w:rPr>
        <w:t xml:space="preserve"> </w:t>
      </w:r>
    </w:p>
    <w:p w14:paraId="038CF2B4" w14:textId="77777777" w:rsidR="00D132AA" w:rsidRDefault="00973C77">
      <w:pPr>
        <w:pStyle w:val="Akapitzlist"/>
        <w:spacing w:line="240" w:lineRule="auto"/>
        <w:jc w:val="both"/>
      </w:pPr>
      <w:r>
        <w:t xml:space="preserve">W związku z zakazem udziału rosyjskich wykonawców w zamówieniach publicznych,  w wobec osób i podmiotów wpisanych na  „Listę osób i podmiotów objętych sankcjami” prowadzoną przez ministra właściwego do spraw wewnętrznych, osoby oraz podmioty objęte sankcjami podlegają  wykluczeniu z udziału w niniejszym  postępowaniu.   </w:t>
      </w:r>
    </w:p>
    <w:p w14:paraId="51479225" w14:textId="77777777" w:rsidR="00D132AA" w:rsidRDefault="00973C77">
      <w:pPr>
        <w:pStyle w:val="Akapitzlist"/>
        <w:spacing w:line="240" w:lineRule="auto"/>
        <w:jc w:val="both"/>
      </w:pPr>
      <w:r>
        <w:t xml:space="preserve">Ponadto wykluczeniu z postępowania podlegają również rosyjscy wykonawcy nie wpisani wprost na ww. listę sankcji. </w:t>
      </w:r>
    </w:p>
    <w:p w14:paraId="4727316C" w14:textId="060DB246" w:rsidR="00D132AA" w:rsidRDefault="00973C77" w:rsidP="009243FB">
      <w:pPr>
        <w:spacing w:line="240" w:lineRule="auto"/>
        <w:ind w:left="708"/>
        <w:jc w:val="both"/>
      </w:pPr>
      <w:r>
        <w:t>W związku z powyższym Wykonawca wraz z ofertą  zobowiązany jest do złożenia oświadczenia o barku podstaw do wykluczenia z postępowania (</w:t>
      </w:r>
      <w:r>
        <w:rPr>
          <w:b/>
          <w:bCs/>
        </w:rPr>
        <w:t xml:space="preserve">Załącznik </w:t>
      </w:r>
      <w:r w:rsidR="000C0258">
        <w:rPr>
          <w:b/>
          <w:bCs/>
        </w:rPr>
        <w:t>8</w:t>
      </w:r>
      <w:r>
        <w:rPr>
          <w:b/>
          <w:bCs/>
        </w:rPr>
        <w:t xml:space="preserve"> do zapytania ofertowego</w:t>
      </w:r>
      <w:r>
        <w:t>).</w:t>
      </w:r>
    </w:p>
    <w:p w14:paraId="459FDA32" w14:textId="77777777" w:rsidR="00D132AA" w:rsidRPr="00E151E6" w:rsidRDefault="00D132AA">
      <w:pPr>
        <w:pStyle w:val="Akapitzlist"/>
        <w:spacing w:line="240" w:lineRule="auto"/>
        <w:ind w:left="786"/>
        <w:jc w:val="both"/>
        <w:rPr>
          <w:sz w:val="10"/>
          <w:szCs w:val="10"/>
        </w:rPr>
      </w:pPr>
    </w:p>
    <w:p w14:paraId="20828177" w14:textId="77777777" w:rsidR="00D132AA" w:rsidRDefault="00973C77">
      <w:pPr>
        <w:pStyle w:val="Akapitzlist"/>
        <w:numPr>
          <w:ilvl w:val="0"/>
          <w:numId w:val="1"/>
        </w:numPr>
        <w:spacing w:line="240" w:lineRule="auto"/>
        <w:rPr>
          <w:b/>
          <w:bCs/>
        </w:rPr>
      </w:pPr>
      <w:r>
        <w:rPr>
          <w:b/>
          <w:bCs/>
        </w:rPr>
        <w:t>WARUNKI ISTOTNYCH ZMIAN UMOWY ZAWARTEJ W WYNIKU PRZEPROWADZONEGO POSTĘPOWANIA</w:t>
      </w:r>
    </w:p>
    <w:p w14:paraId="49AD68C7" w14:textId="77777777" w:rsidR="00D132AA" w:rsidRPr="00E151E6" w:rsidRDefault="00D132AA">
      <w:pPr>
        <w:pStyle w:val="Akapitzlist"/>
        <w:spacing w:line="240" w:lineRule="auto"/>
        <w:ind w:left="426"/>
        <w:rPr>
          <w:b/>
          <w:bCs/>
          <w:sz w:val="10"/>
          <w:szCs w:val="10"/>
        </w:rPr>
      </w:pPr>
    </w:p>
    <w:p w14:paraId="1C997D20" w14:textId="77777777" w:rsidR="00D132AA" w:rsidRDefault="00973C77">
      <w:pPr>
        <w:pStyle w:val="Akapitzlist"/>
        <w:numPr>
          <w:ilvl w:val="0"/>
          <w:numId w:val="7"/>
        </w:numPr>
        <w:spacing w:line="240" w:lineRule="auto"/>
      </w:pPr>
      <w:r>
        <w:t>Zamawiający przewiduje możliwość wprowadzenia następujących zmian umowy zwartej                    w wyniku przeprowadzonego postępowania:</w:t>
      </w:r>
    </w:p>
    <w:p w14:paraId="4761FE81" w14:textId="77777777" w:rsidR="00D132AA" w:rsidRDefault="00973C77">
      <w:pPr>
        <w:pStyle w:val="Akapitzlist"/>
        <w:numPr>
          <w:ilvl w:val="0"/>
          <w:numId w:val="8"/>
        </w:numPr>
        <w:spacing w:line="240" w:lineRule="auto"/>
        <w:jc w:val="both"/>
      </w:pPr>
      <w:r>
        <w:t>uzasadnionego przedłużeniu terminu realizacji umowy na wypadek okoliczności, których Zamawiający działając z należytą starannością nie mógł przewidzieć, wynikających                                   z zabytkowego charakteru obiektu, w którym realizowane jest zamówienie,</w:t>
      </w:r>
    </w:p>
    <w:p w14:paraId="156D7874" w14:textId="77777777" w:rsidR="00D132AA" w:rsidRDefault="00973C77">
      <w:pPr>
        <w:pStyle w:val="Akapitzlist"/>
        <w:numPr>
          <w:ilvl w:val="0"/>
          <w:numId w:val="8"/>
        </w:numPr>
        <w:spacing w:line="240" w:lineRule="auto"/>
        <w:jc w:val="both"/>
      </w:pPr>
      <w:r>
        <w:t>uzasadnionego przedłużeniu terminu realizacji umowy w sytuacji działania siły wyższej, np. klęski żywiołowe, strajki generalne lub lokalne, mające bezpośredni wpływ na terminowość wykonania prac,</w:t>
      </w:r>
    </w:p>
    <w:p w14:paraId="23B2A899" w14:textId="77777777" w:rsidR="00D132AA" w:rsidRDefault="00973C77">
      <w:pPr>
        <w:pStyle w:val="Akapitzlist"/>
        <w:numPr>
          <w:ilvl w:val="0"/>
          <w:numId w:val="8"/>
        </w:numPr>
        <w:spacing w:line="240" w:lineRule="auto"/>
        <w:jc w:val="both"/>
      </w:pPr>
      <w:r>
        <w:lastRenderedPageBreak/>
        <w:t>będących wynikiem zmian powszechnie obowiązujących przepisów prawa, których uchwalenie lub zmiana nastąpiły po dniu zawarcia umowy, a z których treści wynika konieczność lub zasadność wprowadzenia zmian, mających wpływ na realizację umowy,</w:t>
      </w:r>
    </w:p>
    <w:p w14:paraId="17FAC0BD" w14:textId="77777777" w:rsidR="00D132AA" w:rsidRDefault="00973C77">
      <w:pPr>
        <w:pStyle w:val="Akapitzlist"/>
        <w:numPr>
          <w:ilvl w:val="0"/>
          <w:numId w:val="8"/>
        </w:numPr>
        <w:spacing w:line="240" w:lineRule="auto"/>
        <w:jc w:val="both"/>
      </w:pPr>
      <w:r>
        <w:t>po spełnianiu co najmniej jednego z warunków określonych w Wytycznych dotyczących kwalifikowalności wydatków na lata 2021-2027 (sekcja 3.2.4 Umowy w sprawie zamówienia).</w:t>
      </w:r>
    </w:p>
    <w:p w14:paraId="09C0CD42" w14:textId="77777777" w:rsidR="00D132AA" w:rsidRDefault="00D132AA">
      <w:pPr>
        <w:pStyle w:val="Akapitzlist"/>
        <w:spacing w:line="240" w:lineRule="auto"/>
        <w:ind w:left="1080"/>
        <w:jc w:val="both"/>
      </w:pPr>
    </w:p>
    <w:p w14:paraId="448F121A" w14:textId="0DFBF32B" w:rsidR="00D132AA" w:rsidRDefault="00973C77">
      <w:pPr>
        <w:pStyle w:val="Akapitzlist"/>
        <w:numPr>
          <w:ilvl w:val="0"/>
          <w:numId w:val="1"/>
        </w:numPr>
        <w:spacing w:line="240" w:lineRule="auto"/>
        <w:rPr>
          <w:b/>
          <w:bCs/>
        </w:rPr>
      </w:pPr>
      <w:r>
        <w:rPr>
          <w:b/>
          <w:bCs/>
        </w:rPr>
        <w:t>INFORMACJA O PRZETWARZANIU DANYCH OSOBOWYCH</w:t>
      </w:r>
    </w:p>
    <w:p w14:paraId="3FB640F8" w14:textId="77777777" w:rsidR="00D132AA" w:rsidRDefault="00973C77">
      <w:pPr>
        <w:pStyle w:val="Akapitzlist"/>
        <w:spacing w:line="240" w:lineRule="auto"/>
        <w:rPr>
          <w:b/>
          <w:bCs/>
        </w:rPr>
      </w:pPr>
      <w:r>
        <w:rPr>
          <w:b/>
          <w:bCs/>
        </w:rPr>
        <w:t xml:space="preserve"> </w:t>
      </w:r>
    </w:p>
    <w:p w14:paraId="4DE7358C" w14:textId="77777777" w:rsidR="00D132AA" w:rsidRDefault="00973C77">
      <w:pPr>
        <w:pStyle w:val="Akapitzlist"/>
        <w:numPr>
          <w:ilvl w:val="0"/>
          <w:numId w:val="11"/>
        </w:numPr>
        <w:spacing w:line="240" w:lineRule="auto"/>
        <w:jc w:val="both"/>
      </w:pPr>
      <w:r>
        <w:t>W celu wykonania obowiązku nałożonego art. 13 ust. 1 i 2 rozporządzenia Parlamentu Europejskiego i Rady (UE) 2016/679 z dnia 27 kwietnia 2016 r. w sprawie ochrony osób fizycznych w związku z przetwarzaniem danych osobowych i w sprawie swobodnego przepływu takich danych oraz uchylenia dyrektywy 95/46/WE(ogólne rozporządzenie o ochronie danych osobowych) zwanej dalej „RODO”, informujemy o zasadach przetwarzania Państwa danych osobowych:</w:t>
      </w:r>
    </w:p>
    <w:p w14:paraId="39FE1254" w14:textId="77777777" w:rsidR="00D132AA" w:rsidRDefault="00973C77">
      <w:pPr>
        <w:pStyle w:val="Akapitzlist"/>
        <w:numPr>
          <w:ilvl w:val="0"/>
          <w:numId w:val="12"/>
        </w:numPr>
        <w:spacing w:line="240" w:lineRule="auto"/>
      </w:pPr>
      <w:r>
        <w:t xml:space="preserve">Administratorem danych osobowych jest:  LIBERTADOR Sp. z  o. o . ul. Emilii Plater 3A, 58-305 Wałbrzych, tel.: 504 093, 270 e-mail: </w:t>
      </w:r>
      <w:hyperlink r:id="rId12">
        <w:r>
          <w:rPr>
            <w:rStyle w:val="Hipercze"/>
          </w:rPr>
          <w:t>biuro@ewis.pl</w:t>
        </w:r>
      </w:hyperlink>
      <w:r>
        <w:t>,</w:t>
      </w:r>
    </w:p>
    <w:p w14:paraId="6311EB84" w14:textId="77777777" w:rsidR="00D132AA" w:rsidRDefault="00973C77">
      <w:pPr>
        <w:pStyle w:val="Akapitzlist"/>
        <w:numPr>
          <w:ilvl w:val="0"/>
          <w:numId w:val="12"/>
        </w:numPr>
        <w:spacing w:line="240" w:lineRule="auto"/>
      </w:pPr>
      <w:r>
        <w:t>Administrator wyznaczył inspektora ochrony danych, z którym można skontaktować się poprzez e-mail:administrator@libertador.pl we wszystkich sprawach dotyczących przetwarzania danych osobowych oraz korzystania z praw związanych z ich przetwarzaniem.</w:t>
      </w:r>
    </w:p>
    <w:p w14:paraId="41852056" w14:textId="77777777" w:rsidR="00D132AA" w:rsidRDefault="00973C77">
      <w:pPr>
        <w:pStyle w:val="Akapitzlist"/>
        <w:numPr>
          <w:ilvl w:val="0"/>
          <w:numId w:val="7"/>
        </w:numPr>
        <w:spacing w:line="240" w:lineRule="auto"/>
        <w:jc w:val="both"/>
        <w:rPr>
          <w:color w:val="FF0000"/>
        </w:rPr>
      </w:pPr>
      <w:r>
        <w:t xml:space="preserve">Wskazane dane osobowe przez Wykonawcę przetwarzane będą  w związku z tym ,że zobowiązuje nas do tego prawo (art. 6 ust. 1 lit. c  RODO). </w:t>
      </w:r>
    </w:p>
    <w:p w14:paraId="2B3666F9" w14:textId="6CB6F44C" w:rsidR="00D132AA" w:rsidRDefault="00973C77">
      <w:pPr>
        <w:pStyle w:val="Akapitzlist"/>
        <w:numPr>
          <w:ilvl w:val="0"/>
          <w:numId w:val="7"/>
        </w:numPr>
        <w:jc w:val="both"/>
      </w:pPr>
      <w:r>
        <w:t>Dane osobowe będziemy przetwarzać w celu związanym z postępowaniem o udzielenie zamówienia  na  remont wieży ciśnień będącej częścią  zespołu szybu Irena w Wałbrzychu przy ul. E Plater 3a,  prowadzonym w związku z realizacją  projektu   pn. „Muzeum browarnictwa i</w:t>
      </w:r>
      <w:r w:rsidR="00E151E6">
        <w:t> </w:t>
      </w:r>
      <w:r>
        <w:t>górnictwa wraz z innowacyjną linią do produkcji piwa i napoju beczkowego oraz restauracją, winiarnią i ścieżką edukacyjną” współfinansowanego w ramach programu  Fundusze Europejskie dla Dolnego Śląska na lata 2021-2027, Oś priorytetowa FEDS.09 Fundusze Europejskie na rzecz transformacji obszarów górniczych na Dolnym Śląsku,   Działanie FEDS.09.04 Transformacja gospodarcza.</w:t>
      </w:r>
    </w:p>
    <w:p w14:paraId="61192F3A" w14:textId="77777777" w:rsidR="00D132AA" w:rsidRDefault="00973C77">
      <w:pPr>
        <w:pStyle w:val="Akapitzlist"/>
        <w:numPr>
          <w:ilvl w:val="0"/>
          <w:numId w:val="7"/>
        </w:numPr>
        <w:spacing w:line="240" w:lineRule="auto"/>
        <w:jc w:val="both"/>
      </w:pPr>
      <w:r>
        <w:t>Możemy przetwarzać następujące rodzaje danych: imię, nazwisko, adres, adres poczty elektronicznej, numer telefonu, PESEL, REGON.</w:t>
      </w:r>
    </w:p>
    <w:p w14:paraId="1E35BCEF" w14:textId="07EE917E" w:rsidR="00D132AA" w:rsidRDefault="00973C77">
      <w:pPr>
        <w:pStyle w:val="Akapitzlist"/>
        <w:numPr>
          <w:ilvl w:val="0"/>
          <w:numId w:val="7"/>
        </w:numPr>
        <w:spacing w:line="240" w:lineRule="auto"/>
        <w:jc w:val="both"/>
      </w:pPr>
      <w:r>
        <w:t>Dane osobowe mogą być powierzane lub udostępniane uprawnionym  na mocy obowiązujących przepisów  instytucjom lub  podmiotom, w tym:  instytucji zarządzającej, instytucji wdrażającej, instytucji pośredniczącej, instytucji audytowej, instytucji Unii Europejskiej, podmiotom uprawnionym do kontroli prawidłowości wydatkowania środków publicznych którym udostępniona zostanie dokumentacja postępowania w związku z realizacją projektu   pn. „Muzeum browarnictwa i górnictwa wraz z innowacyjną linią do produkcji piwa i</w:t>
      </w:r>
      <w:r w:rsidR="00E151E6">
        <w:t> </w:t>
      </w:r>
      <w:r>
        <w:t>napoju beczkowego oraz restauracją, winiarnią i ścieżką edukacyjną” współfinansowanego                   w ramach programu  Fundusze Europejskie dla Dolnego Śląska na lata 2021-2027,                               Oś priorytetowa FEDS.09 Fundusze Europejskie na rzecz transformacji obszarów górniczych na Dolnym Śląsku,   Działanie FEDS.09.04 Transformacja gospodarcza.</w:t>
      </w:r>
    </w:p>
    <w:p w14:paraId="0E9DCFC7" w14:textId="77777777" w:rsidR="00D132AA" w:rsidRDefault="00973C77">
      <w:pPr>
        <w:pStyle w:val="Akapitzlist"/>
        <w:numPr>
          <w:ilvl w:val="0"/>
          <w:numId w:val="7"/>
        </w:numPr>
        <w:spacing w:line="240" w:lineRule="auto"/>
        <w:jc w:val="both"/>
        <w:rPr>
          <w:color w:val="FF0000"/>
        </w:rPr>
      </w:pPr>
      <w:r>
        <w:t xml:space="preserve">Wskazane dane osobowe będą przechowywane w formie umożliwiającej identyfikację osoby, której dane dotyczą, przez okres realizacji umowy  o dofinansowanie, w tym co najmniej przez okres 5 lat od 31 grudnia roku, w którym IP/IW dokona ostatniej płatności na rzecz Zamawiającego, z zastrzeżeniem postanowień umowy o dofinansowanie, które mogą przewidywać dłuższy termin przeprowadzania kontroli, a ponadto przepisów dotyczących pomocy publicznej i pomocy de </w:t>
      </w:r>
      <w:proofErr w:type="spellStart"/>
      <w:r>
        <w:t>minimis</w:t>
      </w:r>
      <w:proofErr w:type="spellEnd"/>
      <w:r>
        <w:t xml:space="preserve"> oraz przepisów, dotyczących podatku od towarów                         i usług.</w:t>
      </w:r>
    </w:p>
    <w:p w14:paraId="5738CC8C" w14:textId="77777777" w:rsidR="00D132AA" w:rsidRDefault="00973C77">
      <w:pPr>
        <w:pStyle w:val="Akapitzlist"/>
        <w:numPr>
          <w:ilvl w:val="0"/>
          <w:numId w:val="7"/>
        </w:numPr>
        <w:spacing w:line="240" w:lineRule="auto"/>
        <w:jc w:val="both"/>
      </w:pPr>
      <w:r>
        <w:lastRenderedPageBreak/>
        <w:t xml:space="preserve">Podanie danych osobowych  jest warunkiem koniecznym uczestniczenia w przedmiotowym  postępianiu o udzielenie zamówienia. Odmowa ich podania uniemożliwi ocenę oferty złożonej poprzez Bazę konkurencyjności i spowoduje jej odrzucenie.  </w:t>
      </w:r>
    </w:p>
    <w:p w14:paraId="390C0D19" w14:textId="77777777" w:rsidR="00D132AA" w:rsidRDefault="00973C77">
      <w:pPr>
        <w:pStyle w:val="Akapitzlist"/>
        <w:numPr>
          <w:ilvl w:val="0"/>
          <w:numId w:val="7"/>
        </w:numPr>
        <w:spacing w:line="240" w:lineRule="auto"/>
        <w:jc w:val="both"/>
        <w:rPr>
          <w:color w:val="FF0000"/>
        </w:rPr>
      </w:pPr>
      <w:r>
        <w:t>W odniesieniu do danych osobowych decyzje nie będą podejmowane w sposób zautomatyzowany, stosowanie do art. 22 RODO;</w:t>
      </w:r>
    </w:p>
    <w:p w14:paraId="1E5F43B0" w14:textId="77777777" w:rsidR="00D132AA" w:rsidRDefault="00973C77">
      <w:pPr>
        <w:pStyle w:val="Akapitzlist"/>
        <w:numPr>
          <w:ilvl w:val="0"/>
          <w:numId w:val="7"/>
        </w:numPr>
        <w:spacing w:line="240" w:lineRule="auto"/>
        <w:jc w:val="both"/>
        <w:rPr>
          <w:color w:val="FF0000"/>
        </w:rPr>
      </w:pPr>
      <w:bookmarkStart w:id="5" w:name="_Hlk169629596"/>
      <w:r>
        <w:t xml:space="preserve">Osobom,  których dane przetwarzamy </w:t>
      </w:r>
      <w:bookmarkEnd w:id="5"/>
      <w:r>
        <w:t>przysługują następujące prawa:</w:t>
      </w:r>
    </w:p>
    <w:p w14:paraId="47B474FA" w14:textId="77777777" w:rsidR="00D132AA" w:rsidRDefault="00973C77">
      <w:pPr>
        <w:pStyle w:val="Akapitzlist"/>
        <w:numPr>
          <w:ilvl w:val="0"/>
          <w:numId w:val="13"/>
        </w:numPr>
        <w:spacing w:line="240" w:lineRule="auto"/>
        <w:jc w:val="both"/>
        <w:rPr>
          <w:color w:val="FF0000"/>
        </w:rPr>
      </w:pPr>
      <w:r>
        <w:t>na podstawie art. 15 RODO prawo dostępu do danych osobowych*;</w:t>
      </w:r>
    </w:p>
    <w:p w14:paraId="70F883F1" w14:textId="77777777" w:rsidR="00D132AA" w:rsidRDefault="00973C77">
      <w:pPr>
        <w:pStyle w:val="Akapitzlist"/>
        <w:numPr>
          <w:ilvl w:val="0"/>
          <w:numId w:val="13"/>
        </w:numPr>
        <w:spacing w:line="240" w:lineRule="auto"/>
        <w:jc w:val="both"/>
        <w:rPr>
          <w:color w:val="FF0000"/>
        </w:rPr>
      </w:pPr>
      <w:r>
        <w:t>na podstawie art. 16 RODO prawo do sprostowania swoich danych osobowych **;</w:t>
      </w:r>
    </w:p>
    <w:p w14:paraId="08EAAEB0" w14:textId="77777777" w:rsidR="00D132AA" w:rsidRDefault="00973C77">
      <w:pPr>
        <w:pStyle w:val="Akapitzlist"/>
        <w:numPr>
          <w:ilvl w:val="0"/>
          <w:numId w:val="13"/>
        </w:numPr>
        <w:spacing w:line="240" w:lineRule="auto"/>
        <w:jc w:val="both"/>
        <w:rPr>
          <w:color w:val="FF0000"/>
        </w:rPr>
      </w:pPr>
      <w:r>
        <w:t xml:space="preserve">na podstawie art. 18 RODO prawo żądania od administratora ograniczenia przetwarzania danych osobowych z zastrzeżeniem przypadków, o których mowa w art. 18 ust. 2 RODO ***;  </w:t>
      </w:r>
    </w:p>
    <w:p w14:paraId="2E3C4C69" w14:textId="77777777" w:rsidR="00D132AA" w:rsidRDefault="00973C77">
      <w:pPr>
        <w:pStyle w:val="Akapitzlist"/>
        <w:numPr>
          <w:ilvl w:val="0"/>
          <w:numId w:val="13"/>
        </w:numPr>
        <w:spacing w:line="240" w:lineRule="auto"/>
        <w:jc w:val="both"/>
        <w:rPr>
          <w:color w:val="FF0000"/>
        </w:rPr>
      </w:pPr>
      <w:r>
        <w:t>prawo wniesienia skargi (art. 77 RODO) do organu nadzorczego tj. Prezesa Urzędu Ochrony Danych Osobowych (na adres: ul. Stawki 2, 00-193 Warszawa) - w przypadku uznania, iż przetwarzanie jej danych osobowych narusza przepisy RODO lub inne przepisy prawa regulujące kwestię ochrony danych osobowych.</w:t>
      </w:r>
    </w:p>
    <w:p w14:paraId="5A4C3401" w14:textId="77777777" w:rsidR="00D132AA" w:rsidRDefault="00973C77">
      <w:pPr>
        <w:pStyle w:val="Akapitzlist"/>
        <w:numPr>
          <w:ilvl w:val="0"/>
          <w:numId w:val="7"/>
        </w:numPr>
        <w:spacing w:line="240" w:lineRule="auto"/>
      </w:pPr>
      <w:r>
        <w:t>Osobom,  których dane przetwarzamy nie przysługuje:</w:t>
      </w:r>
    </w:p>
    <w:p w14:paraId="3873FEBA" w14:textId="77777777" w:rsidR="00D132AA" w:rsidRDefault="00973C77">
      <w:pPr>
        <w:pStyle w:val="Akapitzlist"/>
        <w:numPr>
          <w:ilvl w:val="0"/>
          <w:numId w:val="14"/>
        </w:numPr>
        <w:spacing w:line="240" w:lineRule="auto"/>
      </w:pPr>
      <w:r>
        <w:t>w związku z art. 17 ust. 3 lit. b, d lub e RODO prawo do usunięcia danych osobowych;</w:t>
      </w:r>
    </w:p>
    <w:p w14:paraId="550002C8" w14:textId="77777777" w:rsidR="00D132AA" w:rsidRDefault="00973C77">
      <w:pPr>
        <w:pStyle w:val="Akapitzlist"/>
        <w:numPr>
          <w:ilvl w:val="0"/>
          <w:numId w:val="14"/>
        </w:numPr>
        <w:spacing w:line="240" w:lineRule="auto"/>
      </w:pPr>
      <w:r>
        <w:t>prawo do przenoszenia danych osobowych, o którym mowa w art. 20 RODO;</w:t>
      </w:r>
    </w:p>
    <w:p w14:paraId="7C778AFE" w14:textId="77777777" w:rsidR="00D132AA" w:rsidRDefault="00973C77">
      <w:pPr>
        <w:pStyle w:val="Akapitzlist"/>
        <w:numPr>
          <w:ilvl w:val="0"/>
          <w:numId w:val="14"/>
        </w:numPr>
        <w:spacing w:line="240" w:lineRule="auto"/>
      </w:pPr>
      <w:r>
        <w:t xml:space="preserve">na podstawie art. 21 RODO prawo sprzeciwu, wobec przetwarzania danych osobowych, gdyż podstawą prawną przetwarzania danych osobowych jest                           art. 6 ust. 1 lit. c RODO. </w:t>
      </w:r>
    </w:p>
    <w:p w14:paraId="111C3866" w14:textId="77777777" w:rsidR="00D132AA" w:rsidRDefault="00973C77">
      <w:pPr>
        <w:pStyle w:val="Akapitzlist"/>
        <w:numPr>
          <w:ilvl w:val="0"/>
          <w:numId w:val="7"/>
        </w:numPr>
        <w:spacing w:line="240" w:lineRule="auto"/>
        <w:jc w:val="both"/>
      </w:pPr>
      <w:r>
        <w:t>Przypominamy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włączeń, o których mowa                       w art. 14 ust. 5 RODO.</w:t>
      </w:r>
    </w:p>
    <w:p w14:paraId="02AC59EE" w14:textId="77777777" w:rsidR="00D132AA" w:rsidRDefault="00D132AA">
      <w:pPr>
        <w:spacing w:line="240" w:lineRule="auto"/>
      </w:pPr>
    </w:p>
    <w:p w14:paraId="2902ADC5" w14:textId="77777777" w:rsidR="00D132AA" w:rsidRDefault="00973C77">
      <w:pPr>
        <w:spacing w:line="240" w:lineRule="auto"/>
        <w:jc w:val="both"/>
        <w:rPr>
          <w:sz w:val="18"/>
          <w:szCs w:val="18"/>
        </w:rPr>
      </w:pPr>
      <w:r>
        <w:rPr>
          <w:sz w:val="18"/>
          <w:szCs w:val="18"/>
        </w:rPr>
        <w:t>* Wyjaśnienie: informacja w tym zakresie jest wymagana, jeżeli w odniesieniu do danego administratora lub podmiotu przetwarzającego istnieje obowiązek wyznaczenia inspektora ochrony danych osobowych.</w:t>
      </w:r>
    </w:p>
    <w:p w14:paraId="66D11BC8" w14:textId="77777777" w:rsidR="00D132AA" w:rsidRDefault="00973C77">
      <w:pPr>
        <w:spacing w:line="240" w:lineRule="auto"/>
        <w:jc w:val="both"/>
        <w:rPr>
          <w:sz w:val="18"/>
          <w:szCs w:val="18"/>
        </w:rPr>
      </w:pPr>
      <w:r>
        <w:rPr>
          <w:sz w:val="18"/>
          <w:szCs w:val="18"/>
        </w:rPr>
        <w:t xml:space="preserve">** Wyjaśnienie: skorzystanie z prawa do sprostowania nie może skutkować zmianą wyniku postępowania o udzielenie zamówienia publicznego ani zmianą postanowień umowy w zakresie niezgodnym z ustawą </w:t>
      </w:r>
      <w:proofErr w:type="spellStart"/>
      <w:r>
        <w:rPr>
          <w:sz w:val="18"/>
          <w:szCs w:val="18"/>
        </w:rPr>
        <w:t>Pzp</w:t>
      </w:r>
      <w:proofErr w:type="spellEnd"/>
      <w:r>
        <w:rPr>
          <w:sz w:val="18"/>
          <w:szCs w:val="18"/>
        </w:rPr>
        <w:t xml:space="preserve"> oraz nie może naruszać integralności protokołu oraz jego załączników.</w:t>
      </w:r>
    </w:p>
    <w:p w14:paraId="7F23C7DB" w14:textId="77777777" w:rsidR="00D132AA" w:rsidRDefault="00973C77">
      <w:pPr>
        <w:spacing w:line="240" w:lineRule="auto"/>
        <w:jc w:val="both"/>
        <w:rPr>
          <w:sz w:val="18"/>
          <w:szCs w:val="18"/>
        </w:rPr>
      </w:pPr>
      <w:r>
        <w:rPr>
          <w:sz w:val="18"/>
          <w:szCs w:val="18"/>
        </w:rP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3800D13D" w14:textId="4E34F1F5" w:rsidR="00D132AA" w:rsidRPr="009243FB" w:rsidRDefault="00D132AA" w:rsidP="009243FB">
      <w:pPr>
        <w:spacing w:line="240" w:lineRule="auto"/>
      </w:pPr>
      <w:bookmarkStart w:id="6" w:name="_Hlk169633499"/>
      <w:bookmarkEnd w:id="6"/>
    </w:p>
    <w:p w14:paraId="1267EBD4" w14:textId="77777777" w:rsidR="00D132AA" w:rsidRDefault="00973C77">
      <w:pPr>
        <w:spacing w:line="240" w:lineRule="auto"/>
        <w:rPr>
          <w:b/>
          <w:bCs/>
        </w:rPr>
      </w:pPr>
      <w:r>
        <w:rPr>
          <w:b/>
          <w:bCs/>
        </w:rPr>
        <w:t>ZAŁĄCZNIKI:</w:t>
      </w:r>
    </w:p>
    <w:p w14:paraId="37CECF40" w14:textId="77777777" w:rsidR="00D132AA" w:rsidRDefault="00973C77">
      <w:pPr>
        <w:pStyle w:val="Akapitzlist"/>
        <w:numPr>
          <w:ilvl w:val="0"/>
          <w:numId w:val="9"/>
        </w:numPr>
        <w:spacing w:line="240" w:lineRule="auto"/>
      </w:pPr>
      <w:r>
        <w:t>Przedmiar prac remontowych.</w:t>
      </w:r>
    </w:p>
    <w:p w14:paraId="13F19CAD" w14:textId="77777777" w:rsidR="00D132AA" w:rsidRDefault="00973C77">
      <w:pPr>
        <w:pStyle w:val="Akapitzlist"/>
        <w:numPr>
          <w:ilvl w:val="0"/>
          <w:numId w:val="9"/>
        </w:numPr>
        <w:spacing w:line="240" w:lineRule="auto"/>
      </w:pPr>
      <w:r>
        <w:t xml:space="preserve">Mapka lokalizacyjna wieży ciśnień w zespole obiektów Szybu Irena. </w:t>
      </w:r>
    </w:p>
    <w:p w14:paraId="371444D5" w14:textId="0C8AFDFC" w:rsidR="00D132AA" w:rsidRDefault="00973C77">
      <w:pPr>
        <w:pStyle w:val="Akapitzlist"/>
        <w:numPr>
          <w:ilvl w:val="0"/>
          <w:numId w:val="9"/>
        </w:numPr>
        <w:spacing w:line="240" w:lineRule="auto"/>
      </w:pPr>
      <w:r>
        <w:t>Projekt architektoniczno-budowlany</w:t>
      </w:r>
      <w:r w:rsidR="000C0258">
        <w:t>.</w:t>
      </w:r>
    </w:p>
    <w:p w14:paraId="1FA16AC2" w14:textId="77777777" w:rsidR="00D132AA" w:rsidRDefault="00973C77">
      <w:pPr>
        <w:pStyle w:val="Akapitzlist"/>
        <w:numPr>
          <w:ilvl w:val="0"/>
          <w:numId w:val="9"/>
        </w:numPr>
        <w:spacing w:line="240" w:lineRule="auto"/>
      </w:pPr>
      <w:r>
        <w:t>Pozwolenie na budowę nr 144/2023 Prezydenta Miasta Wałbrzych z 10.05.2023 r.</w:t>
      </w:r>
    </w:p>
    <w:p w14:paraId="0E8963FB" w14:textId="544D9169" w:rsidR="00D132AA" w:rsidRDefault="00973C77">
      <w:pPr>
        <w:pStyle w:val="Akapitzlist"/>
        <w:numPr>
          <w:ilvl w:val="0"/>
          <w:numId w:val="9"/>
        </w:numPr>
        <w:spacing w:line="240" w:lineRule="auto"/>
      </w:pPr>
      <w:r>
        <w:t>Pozwolenie Dolnośląskiego Wojewódzkiego Konserwatora Zabytków nr 1143/2023 z</w:t>
      </w:r>
      <w:r w:rsidR="00E151E6">
        <w:t> </w:t>
      </w:r>
      <w:r>
        <w:t>28.09.2023 r.</w:t>
      </w:r>
    </w:p>
    <w:p w14:paraId="27A7E290" w14:textId="77777777" w:rsidR="00D132AA" w:rsidRDefault="00973C77">
      <w:pPr>
        <w:pStyle w:val="Akapitzlist"/>
        <w:numPr>
          <w:ilvl w:val="0"/>
          <w:numId w:val="9"/>
        </w:numPr>
        <w:spacing w:line="240" w:lineRule="auto"/>
      </w:pPr>
      <w:r>
        <w:t>Formularz ofertowy.</w:t>
      </w:r>
    </w:p>
    <w:p w14:paraId="6EAB6F33" w14:textId="3CDECFCB" w:rsidR="00D132AA" w:rsidRDefault="00973C77">
      <w:pPr>
        <w:pStyle w:val="Akapitzlist"/>
        <w:numPr>
          <w:ilvl w:val="0"/>
          <w:numId w:val="9"/>
        </w:numPr>
        <w:spacing w:line="240" w:lineRule="auto"/>
      </w:pPr>
      <w:r>
        <w:t>Oświadczenie o braku powiązań kapitałowych i osobowych</w:t>
      </w:r>
      <w:r w:rsidR="000C0258">
        <w:t>.</w:t>
      </w:r>
    </w:p>
    <w:p w14:paraId="41D5DCE8" w14:textId="3039600D" w:rsidR="00D132AA" w:rsidRDefault="00973C77">
      <w:pPr>
        <w:pStyle w:val="Akapitzlist"/>
        <w:numPr>
          <w:ilvl w:val="0"/>
          <w:numId w:val="9"/>
        </w:numPr>
        <w:spacing w:line="240" w:lineRule="auto"/>
      </w:pPr>
      <w:r>
        <w:t xml:space="preserve">Oświadczenie o braku podstaw do wykluczenia z postępowania. </w:t>
      </w:r>
    </w:p>
    <w:p w14:paraId="43C8E8B6" w14:textId="24A6BEC7" w:rsidR="00D132AA" w:rsidRDefault="000C0258" w:rsidP="00E151E6">
      <w:pPr>
        <w:pStyle w:val="Akapitzlist"/>
        <w:numPr>
          <w:ilvl w:val="0"/>
          <w:numId w:val="9"/>
        </w:numPr>
        <w:spacing w:line="240" w:lineRule="auto"/>
      </w:pPr>
      <w:r>
        <w:t xml:space="preserve">Wykaz wykonanych </w:t>
      </w:r>
      <w:r>
        <w:t>prac.</w:t>
      </w:r>
    </w:p>
    <w:p w14:paraId="0D946B8E" w14:textId="77777777" w:rsidR="00D132AA" w:rsidRDefault="00D132AA">
      <w:pPr>
        <w:spacing w:line="240" w:lineRule="auto"/>
      </w:pPr>
    </w:p>
    <w:sectPr w:rsidR="00D132AA">
      <w:pgSz w:w="11906" w:h="16838"/>
      <w:pgMar w:top="1417" w:right="1417" w:bottom="1417" w:left="1417" w:header="0" w:footer="0" w:gutter="0"/>
      <w:cols w:space="708"/>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D6001"/>
    <w:multiLevelType w:val="multilevel"/>
    <w:tmpl w:val="A2868C08"/>
    <w:lvl w:ilvl="0">
      <w:start w:val="1"/>
      <w:numFmt w:val="decimal"/>
      <w:lvlText w:val="%1)"/>
      <w:lvlJc w:val="left"/>
      <w:pPr>
        <w:tabs>
          <w:tab w:val="num" w:pos="0"/>
        </w:tabs>
        <w:ind w:left="720" w:hanging="360"/>
      </w:pPr>
      <w:rPr>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D00660B"/>
    <w:multiLevelType w:val="multilevel"/>
    <w:tmpl w:val="DD8866DC"/>
    <w:lvl w:ilvl="0">
      <w:start w:val="1"/>
      <w:numFmt w:val="bullet"/>
      <w:lvlText w:val=""/>
      <w:lvlJc w:val="left"/>
      <w:pPr>
        <w:tabs>
          <w:tab w:val="num" w:pos="0"/>
        </w:tabs>
        <w:ind w:left="1146" w:hanging="360"/>
      </w:pPr>
      <w:rPr>
        <w:rFonts w:ascii="Wingdings" w:hAnsi="Wingdings" w:cs="Wingdings" w:hint="default"/>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2" w15:restartNumberingAfterBreak="0">
    <w:nsid w:val="1E1715FD"/>
    <w:multiLevelType w:val="multilevel"/>
    <w:tmpl w:val="8208E8BE"/>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 w15:restartNumberingAfterBreak="0">
    <w:nsid w:val="28A74A52"/>
    <w:multiLevelType w:val="multilevel"/>
    <w:tmpl w:val="E2A6A6E2"/>
    <w:lvl w:ilvl="0">
      <w:start w:val="1"/>
      <w:numFmt w:val="decimal"/>
      <w:lvlText w:val="%1."/>
      <w:lvlJc w:val="left"/>
      <w:pPr>
        <w:tabs>
          <w:tab w:val="num" w:pos="0"/>
        </w:tabs>
        <w:ind w:left="720" w:hanging="360"/>
      </w:pPr>
      <w:rPr>
        <w:b w:val="0"/>
        <w:b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2B3141A9"/>
    <w:multiLevelType w:val="multilevel"/>
    <w:tmpl w:val="5BB216D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365055E2"/>
    <w:multiLevelType w:val="multilevel"/>
    <w:tmpl w:val="28A6DFAA"/>
    <w:lvl w:ilvl="0">
      <w:start w:val="1"/>
      <w:numFmt w:val="bullet"/>
      <w:lvlText w:val=""/>
      <w:lvlJc w:val="left"/>
      <w:pPr>
        <w:tabs>
          <w:tab w:val="num" w:pos="0"/>
        </w:tabs>
        <w:ind w:left="1146" w:hanging="360"/>
      </w:pPr>
      <w:rPr>
        <w:rFonts w:ascii="Wingdings" w:hAnsi="Wingdings" w:cs="Wingdings" w:hint="default"/>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6" w15:restartNumberingAfterBreak="0">
    <w:nsid w:val="46E32934"/>
    <w:multiLevelType w:val="multilevel"/>
    <w:tmpl w:val="C1BE1A7A"/>
    <w:lvl w:ilvl="0">
      <w:start w:val="1"/>
      <w:numFmt w:val="decimal"/>
      <w:lvlText w:val="%1)"/>
      <w:lvlJc w:val="left"/>
      <w:pPr>
        <w:tabs>
          <w:tab w:val="num" w:pos="0"/>
        </w:tabs>
        <w:ind w:left="720" w:hanging="360"/>
      </w:pPr>
      <w:rPr>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50A62B6F"/>
    <w:multiLevelType w:val="multilevel"/>
    <w:tmpl w:val="07CEE9A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569A14A5"/>
    <w:multiLevelType w:val="multilevel"/>
    <w:tmpl w:val="410CF954"/>
    <w:lvl w:ilvl="0">
      <w:start w:val="1"/>
      <w:numFmt w:val="decimal"/>
      <w:lvlText w:val="%1)"/>
      <w:lvlJc w:val="left"/>
      <w:pPr>
        <w:tabs>
          <w:tab w:val="num" w:pos="0"/>
        </w:tabs>
        <w:ind w:left="720" w:hanging="360"/>
      </w:pPr>
    </w:lvl>
    <w:lvl w:ilvl="1">
      <w:numFmt w:val="bullet"/>
      <w:lvlText w:val=""/>
      <w:lvlJc w:val="left"/>
      <w:pPr>
        <w:tabs>
          <w:tab w:val="num" w:pos="0"/>
        </w:tabs>
        <w:ind w:left="1440" w:hanging="360"/>
      </w:pPr>
      <w:rPr>
        <w:rFonts w:ascii="Symbol" w:eastAsiaTheme="minorHAnsi" w:hAnsi="Symbol" w:cstheme="minorBidi"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592E7C95"/>
    <w:multiLevelType w:val="multilevel"/>
    <w:tmpl w:val="86E0E3FC"/>
    <w:lvl w:ilvl="0">
      <w:start w:val="1"/>
      <w:numFmt w:val="bullet"/>
      <w:lvlText w:val=""/>
      <w:lvlJc w:val="left"/>
      <w:pPr>
        <w:tabs>
          <w:tab w:val="num" w:pos="0"/>
        </w:tabs>
        <w:ind w:left="1440" w:hanging="360"/>
      </w:pPr>
      <w:rPr>
        <w:rFonts w:ascii="Wingdings" w:hAnsi="Wingdings" w:cs="Wingdings" w:hint="default"/>
        <w:color w:val="auto"/>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10" w15:restartNumberingAfterBreak="0">
    <w:nsid w:val="5A3871EA"/>
    <w:multiLevelType w:val="multilevel"/>
    <w:tmpl w:val="C504A266"/>
    <w:lvl w:ilvl="0">
      <w:start w:val="1"/>
      <w:numFmt w:val="decimal"/>
      <w:lvlText w:val="%1."/>
      <w:lvlJc w:val="left"/>
      <w:pPr>
        <w:tabs>
          <w:tab w:val="num" w:pos="0"/>
        </w:tabs>
        <w:ind w:left="720" w:hanging="360"/>
      </w:pPr>
      <w:rPr>
        <w:b/>
        <w:bCs/>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212" w:hanging="720"/>
      </w:pPr>
    </w:lvl>
    <w:lvl w:ilvl="3">
      <w:start w:val="1"/>
      <w:numFmt w:val="decimal"/>
      <w:lvlText w:val="%1.%2.%3.%4."/>
      <w:lvlJc w:val="left"/>
      <w:pPr>
        <w:tabs>
          <w:tab w:val="num" w:pos="0"/>
        </w:tabs>
        <w:ind w:left="1278" w:hanging="720"/>
      </w:pPr>
    </w:lvl>
    <w:lvl w:ilvl="4">
      <w:start w:val="1"/>
      <w:numFmt w:val="decimal"/>
      <w:lvlText w:val="%1.%2.%3.%4.%5."/>
      <w:lvlJc w:val="left"/>
      <w:pPr>
        <w:tabs>
          <w:tab w:val="num" w:pos="0"/>
        </w:tabs>
        <w:ind w:left="1704" w:hanging="1080"/>
      </w:pPr>
    </w:lvl>
    <w:lvl w:ilvl="5">
      <w:start w:val="1"/>
      <w:numFmt w:val="decimal"/>
      <w:lvlText w:val="%1.%2.%3.%4.%5.%6."/>
      <w:lvlJc w:val="left"/>
      <w:pPr>
        <w:tabs>
          <w:tab w:val="num" w:pos="0"/>
        </w:tabs>
        <w:ind w:left="1770" w:hanging="1080"/>
      </w:pPr>
    </w:lvl>
    <w:lvl w:ilvl="6">
      <w:start w:val="1"/>
      <w:numFmt w:val="decimal"/>
      <w:lvlText w:val="%1.%2.%3.%4.%5.%6.%7."/>
      <w:lvlJc w:val="left"/>
      <w:pPr>
        <w:tabs>
          <w:tab w:val="num" w:pos="0"/>
        </w:tabs>
        <w:ind w:left="2196" w:hanging="1440"/>
      </w:pPr>
    </w:lvl>
    <w:lvl w:ilvl="7">
      <w:start w:val="1"/>
      <w:numFmt w:val="decimal"/>
      <w:lvlText w:val="%1.%2.%3.%4.%5.%6.%7.%8."/>
      <w:lvlJc w:val="left"/>
      <w:pPr>
        <w:tabs>
          <w:tab w:val="num" w:pos="0"/>
        </w:tabs>
        <w:ind w:left="2262" w:hanging="1440"/>
      </w:pPr>
    </w:lvl>
    <w:lvl w:ilvl="8">
      <w:start w:val="1"/>
      <w:numFmt w:val="decimal"/>
      <w:lvlText w:val="%1.%2.%3.%4.%5.%6.%7.%8.%9."/>
      <w:lvlJc w:val="left"/>
      <w:pPr>
        <w:tabs>
          <w:tab w:val="num" w:pos="0"/>
        </w:tabs>
        <w:ind w:left="2688" w:hanging="1800"/>
      </w:pPr>
    </w:lvl>
  </w:abstractNum>
  <w:abstractNum w:abstractNumId="11" w15:restartNumberingAfterBreak="0">
    <w:nsid w:val="6D43667D"/>
    <w:multiLevelType w:val="multilevel"/>
    <w:tmpl w:val="20861E96"/>
    <w:lvl w:ilvl="0">
      <w:start w:val="1"/>
      <w:numFmt w:val="bullet"/>
      <w:lvlText w:val=""/>
      <w:lvlJc w:val="left"/>
      <w:pPr>
        <w:tabs>
          <w:tab w:val="num" w:pos="0"/>
        </w:tabs>
        <w:ind w:left="1440" w:hanging="360"/>
      </w:pPr>
      <w:rPr>
        <w:rFonts w:ascii="Wingdings" w:hAnsi="Wingdings" w:cs="Wingdings" w:hint="default"/>
        <w:color w:val="auto"/>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12" w15:restartNumberingAfterBreak="0">
    <w:nsid w:val="704B4D61"/>
    <w:multiLevelType w:val="multilevel"/>
    <w:tmpl w:val="A07E8222"/>
    <w:lvl w:ilvl="0">
      <w:start w:val="1"/>
      <w:numFmt w:val="decimal"/>
      <w:lvlText w:val="%1)"/>
      <w:lvlJc w:val="left"/>
      <w:pPr>
        <w:tabs>
          <w:tab w:val="num" w:pos="0"/>
        </w:tabs>
        <w:ind w:left="720"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13" w15:restartNumberingAfterBreak="0">
    <w:nsid w:val="775F4665"/>
    <w:multiLevelType w:val="multilevel"/>
    <w:tmpl w:val="8388693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78383F12"/>
    <w:multiLevelType w:val="multilevel"/>
    <w:tmpl w:val="A23A1E6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10"/>
  </w:num>
  <w:num w:numId="2">
    <w:abstractNumId w:val="8"/>
  </w:num>
  <w:num w:numId="3">
    <w:abstractNumId w:val="7"/>
  </w:num>
  <w:num w:numId="4">
    <w:abstractNumId w:val="1"/>
  </w:num>
  <w:num w:numId="5">
    <w:abstractNumId w:val="5"/>
  </w:num>
  <w:num w:numId="6">
    <w:abstractNumId w:val="0"/>
  </w:num>
  <w:num w:numId="7">
    <w:abstractNumId w:val="6"/>
  </w:num>
  <w:num w:numId="8">
    <w:abstractNumId w:val="2"/>
  </w:num>
  <w:num w:numId="9">
    <w:abstractNumId w:val="3"/>
  </w:num>
  <w:num w:numId="10">
    <w:abstractNumId w:val="12"/>
  </w:num>
  <w:num w:numId="11">
    <w:abstractNumId w:val="13"/>
  </w:num>
  <w:num w:numId="12">
    <w:abstractNumId w:val="4"/>
  </w:num>
  <w:num w:numId="13">
    <w:abstractNumId w:val="11"/>
  </w:num>
  <w:num w:numId="14">
    <w:abstractNumId w:val="9"/>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32AA"/>
    <w:rsid w:val="000C0258"/>
    <w:rsid w:val="00682576"/>
    <w:rsid w:val="009243FB"/>
    <w:rsid w:val="00973C77"/>
    <w:rsid w:val="00D132AA"/>
    <w:rsid w:val="00E151E6"/>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AEF3CE"/>
  <w15:docId w15:val="{50219528-EBC1-40B0-871B-C462B9D623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C740C0"/>
  </w:style>
  <w:style w:type="character" w:customStyle="1" w:styleId="StopkaZnak">
    <w:name w:val="Stopka Znak"/>
    <w:basedOn w:val="Domylnaczcionkaakapitu"/>
    <w:link w:val="Stopka"/>
    <w:uiPriority w:val="99"/>
    <w:qFormat/>
    <w:rsid w:val="00C740C0"/>
  </w:style>
  <w:style w:type="character" w:styleId="Hipercze">
    <w:name w:val="Hyperlink"/>
    <w:basedOn w:val="Domylnaczcionkaakapitu"/>
    <w:uiPriority w:val="99"/>
    <w:unhideWhenUsed/>
    <w:rsid w:val="00B36D75"/>
    <w:rPr>
      <w:color w:val="0563C1" w:themeColor="hyperlink"/>
      <w:u w:val="single"/>
    </w:rPr>
  </w:style>
  <w:style w:type="character" w:styleId="Nierozpoznanawzmianka">
    <w:name w:val="Unresolved Mention"/>
    <w:basedOn w:val="Domylnaczcionkaakapitu"/>
    <w:uiPriority w:val="99"/>
    <w:semiHidden/>
    <w:unhideWhenUsed/>
    <w:qFormat/>
    <w:rsid w:val="00B36D75"/>
    <w:rPr>
      <w:color w:val="605E5C"/>
      <w:shd w:val="clear" w:color="auto" w:fill="E1DFDD"/>
    </w:rPr>
  </w:style>
  <w:style w:type="character" w:styleId="UyteHipercze">
    <w:name w:val="FollowedHyperlink"/>
    <w:basedOn w:val="Domylnaczcionkaakapitu"/>
    <w:uiPriority w:val="99"/>
    <w:semiHidden/>
    <w:unhideWhenUsed/>
    <w:rsid w:val="00A43BD7"/>
    <w:rPr>
      <w:color w:val="954F72" w:themeColor="followedHyperlink"/>
      <w:u w:val="single"/>
    </w:rPr>
  </w:style>
  <w:style w:type="character" w:styleId="Odwoaniedokomentarza">
    <w:name w:val="annotation reference"/>
    <w:basedOn w:val="Domylnaczcionkaakapitu"/>
    <w:uiPriority w:val="99"/>
    <w:semiHidden/>
    <w:unhideWhenUsed/>
    <w:qFormat/>
    <w:rsid w:val="00167D61"/>
    <w:rPr>
      <w:sz w:val="16"/>
      <w:szCs w:val="16"/>
    </w:rPr>
  </w:style>
  <w:style w:type="character" w:customStyle="1" w:styleId="TekstkomentarzaZnak">
    <w:name w:val="Tekst komentarza Znak"/>
    <w:basedOn w:val="Domylnaczcionkaakapitu"/>
    <w:link w:val="Tekstkomentarza"/>
    <w:uiPriority w:val="99"/>
    <w:qFormat/>
    <w:rsid w:val="00167D61"/>
    <w:rPr>
      <w:sz w:val="20"/>
      <w:szCs w:val="20"/>
    </w:rPr>
  </w:style>
  <w:style w:type="character" w:customStyle="1" w:styleId="TematkomentarzaZnak">
    <w:name w:val="Temat komentarza Znak"/>
    <w:basedOn w:val="TekstkomentarzaZnak"/>
    <w:link w:val="Tematkomentarza"/>
    <w:uiPriority w:val="99"/>
    <w:semiHidden/>
    <w:qFormat/>
    <w:rsid w:val="00167D61"/>
    <w:rPr>
      <w:b/>
      <w:bCs/>
      <w:sz w:val="20"/>
      <w:szCs w:val="20"/>
    </w:rPr>
  </w:style>
  <w:style w:type="paragraph" w:styleId="Nagwek">
    <w:name w:val="header"/>
    <w:basedOn w:val="Normalny"/>
    <w:next w:val="Tekstpodstawowy"/>
    <w:link w:val="NagwekZnak"/>
    <w:uiPriority w:val="99"/>
    <w:unhideWhenUsed/>
    <w:rsid w:val="00C740C0"/>
    <w:pPr>
      <w:tabs>
        <w:tab w:val="center" w:pos="4536"/>
        <w:tab w:val="right" w:pos="9072"/>
      </w:tabs>
      <w:spacing w:after="0" w:line="240" w:lineRule="auto"/>
    </w:p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styleId="Stopka">
    <w:name w:val="footer"/>
    <w:basedOn w:val="Normalny"/>
    <w:link w:val="StopkaZnak"/>
    <w:uiPriority w:val="99"/>
    <w:unhideWhenUsed/>
    <w:rsid w:val="00C740C0"/>
    <w:pPr>
      <w:tabs>
        <w:tab w:val="center" w:pos="4536"/>
        <w:tab w:val="right" w:pos="9072"/>
      </w:tabs>
      <w:spacing w:after="0" w:line="240" w:lineRule="auto"/>
    </w:pPr>
  </w:style>
  <w:style w:type="paragraph" w:styleId="Akapitzlist">
    <w:name w:val="List Paragraph"/>
    <w:basedOn w:val="Normalny"/>
    <w:uiPriority w:val="34"/>
    <w:qFormat/>
    <w:rsid w:val="00C36C00"/>
    <w:pPr>
      <w:ind w:left="720"/>
      <w:contextualSpacing/>
    </w:pPr>
  </w:style>
  <w:style w:type="paragraph" w:styleId="Tekstkomentarza">
    <w:name w:val="annotation text"/>
    <w:basedOn w:val="Normalny"/>
    <w:link w:val="TekstkomentarzaZnak"/>
    <w:uiPriority w:val="99"/>
    <w:unhideWhenUsed/>
    <w:qFormat/>
    <w:rsid w:val="00167D61"/>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167D61"/>
    <w:rPr>
      <w:b/>
      <w:bCs/>
    </w:rPr>
  </w:style>
  <w:style w:type="paragraph" w:styleId="Poprawka">
    <w:name w:val="Revision"/>
    <w:uiPriority w:val="99"/>
    <w:semiHidden/>
    <w:qFormat/>
    <w:rsid w:val="006B78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zakonkurencyjnosci.funduszeeuropejskie.gov.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iuro@ewis.pl" TargetMode="External"/><Relationship Id="rId12" Type="http://schemas.openxmlformats.org/officeDocument/2006/relationships/hyperlink" Target="mailto:biuro@ewis.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mailto:inwestycje@libertador.pl" TargetMode="External"/><Relationship Id="rId5" Type="http://schemas.openxmlformats.org/officeDocument/2006/relationships/webSettings" Target="webSettings.xml"/><Relationship Id="rId10" Type="http://schemas.openxmlformats.org/officeDocument/2006/relationships/hyperlink" Target="https://bazakonkurencyjnosci.funduszeeuropejskie.gov.pl/pomoc" TargetMode="External"/><Relationship Id="rId4" Type="http://schemas.openxmlformats.org/officeDocument/2006/relationships/settings" Target="settings.xml"/><Relationship Id="rId9" Type="http://schemas.openxmlformats.org/officeDocument/2006/relationships/hyperlink" Target="https://bazakonkurencyjnosci.funduszeeuropejskie.gov.pl/regulamin"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C250DD-B20D-4996-B411-D2A2BCFA6A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7</Pages>
  <Words>3060</Words>
  <Characters>18361</Characters>
  <Application>Microsoft Office Word</Application>
  <DocSecurity>0</DocSecurity>
  <Lines>153</Lines>
  <Paragraphs>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Mandziej</dc:creator>
  <dc:description/>
  <cp:lastModifiedBy>Paweł Krzysztof Zawisza</cp:lastModifiedBy>
  <cp:revision>7</cp:revision>
  <dcterms:created xsi:type="dcterms:W3CDTF">2024-07-01T10:33:00Z</dcterms:created>
  <dcterms:modified xsi:type="dcterms:W3CDTF">2024-07-02T09:15:00Z</dcterms:modified>
  <dc:language>pl-PL</dc:language>
</cp:coreProperties>
</file>