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7D84" w:rsidRDefault="00F07D84" w:rsidP="002D3685">
      <w:pPr>
        <w:spacing w:after="0" w:line="360" w:lineRule="auto"/>
        <w:jc w:val="both"/>
        <w:rPr>
          <w:b/>
        </w:rPr>
      </w:pPr>
    </w:p>
    <w:p w:rsidR="00F07D84" w:rsidRDefault="00F07D84" w:rsidP="00F07D84">
      <w:pPr>
        <w:spacing w:after="0" w:line="360" w:lineRule="auto"/>
        <w:jc w:val="right"/>
        <w:rPr>
          <w:b/>
        </w:rPr>
      </w:pPr>
      <w:r w:rsidRPr="00DF7536">
        <w:rPr>
          <w:bCs/>
          <w:sz w:val="24"/>
          <w:szCs w:val="24"/>
        </w:rPr>
        <w:t xml:space="preserve">Załącznik nr </w:t>
      </w:r>
      <w:r w:rsidR="004119CF">
        <w:rPr>
          <w:bCs/>
          <w:sz w:val="24"/>
          <w:szCs w:val="24"/>
        </w:rPr>
        <w:t>1</w:t>
      </w:r>
      <w:r w:rsidRPr="00DF7536">
        <w:rPr>
          <w:bCs/>
          <w:sz w:val="24"/>
          <w:szCs w:val="24"/>
        </w:rPr>
        <w:t xml:space="preserve"> do zapytania ofertowego nr</w:t>
      </w:r>
      <w:r w:rsidR="00E5437C">
        <w:rPr>
          <w:bCs/>
          <w:sz w:val="24"/>
          <w:szCs w:val="24"/>
        </w:rPr>
        <w:t xml:space="preserve"> </w:t>
      </w:r>
      <w:r w:rsidR="00E5437C" w:rsidRPr="00C91049">
        <w:t>FERC.02.02-CS.01-0666/2</w:t>
      </w:r>
      <w:r w:rsidR="00E5437C">
        <w:t>3</w:t>
      </w:r>
    </w:p>
    <w:p w:rsidR="00F07D84" w:rsidRDefault="00F07D84" w:rsidP="002D3685">
      <w:pPr>
        <w:spacing w:after="0" w:line="360" w:lineRule="auto"/>
        <w:jc w:val="both"/>
        <w:rPr>
          <w:b/>
        </w:rPr>
      </w:pPr>
    </w:p>
    <w:p w:rsidR="002D3685" w:rsidRPr="00F07D84" w:rsidRDefault="002D3685" w:rsidP="002D3685">
      <w:pPr>
        <w:spacing w:after="0" w:line="360" w:lineRule="auto"/>
        <w:jc w:val="both"/>
        <w:rPr>
          <w:b/>
          <w:sz w:val="28"/>
          <w:szCs w:val="28"/>
        </w:rPr>
      </w:pPr>
      <w:r w:rsidRPr="00F07D84">
        <w:rPr>
          <w:b/>
          <w:sz w:val="28"/>
          <w:szCs w:val="28"/>
        </w:rPr>
        <w:t>Opis przedmiotu zamówienia</w:t>
      </w:r>
    </w:p>
    <w:p w:rsidR="002D3685" w:rsidRDefault="002D3685" w:rsidP="002D3685">
      <w:pPr>
        <w:spacing w:after="0" w:line="360" w:lineRule="auto"/>
        <w:jc w:val="both"/>
      </w:pPr>
    </w:p>
    <w:p w:rsidR="002D3685" w:rsidRDefault="002D3685" w:rsidP="002D3685">
      <w:pPr>
        <w:spacing w:after="0" w:line="360" w:lineRule="auto"/>
        <w:jc w:val="both"/>
      </w:pPr>
      <w:r w:rsidRPr="00D329D5">
        <w:t>Przedmiotem zamówienia jest wykonanie usług</w:t>
      </w:r>
      <w:r>
        <w:t>i</w:t>
      </w:r>
      <w:r w:rsidRPr="00D329D5">
        <w:t xml:space="preserve"> w Urzędzie </w:t>
      </w:r>
      <w:r>
        <w:t>Miejskim w Kozienicach p</w:t>
      </w:r>
      <w:r w:rsidRPr="00D329D5">
        <w:t>olegając</w:t>
      </w:r>
      <w:r>
        <w:t>ej</w:t>
      </w:r>
      <w:r w:rsidRPr="00D329D5">
        <w:t xml:space="preserve"> na</w:t>
      </w:r>
      <w:r>
        <w:t xml:space="preserve"> </w:t>
      </w:r>
      <w:r w:rsidRPr="00D329D5">
        <w:t>przeprowadzeniu audyt</w:t>
      </w:r>
      <w:r>
        <w:t>u</w:t>
      </w:r>
      <w:r w:rsidRPr="00D329D5">
        <w:t xml:space="preserve"> wstępnego zgodności z Krajowymi Ramami </w:t>
      </w:r>
      <w:proofErr w:type="spellStart"/>
      <w:r w:rsidRPr="00D329D5">
        <w:t>Interoperacyjności</w:t>
      </w:r>
      <w:proofErr w:type="spellEnd"/>
      <w:r w:rsidRPr="00D329D5">
        <w:t xml:space="preserve"> w ramach projektu grantowego „</w:t>
      </w:r>
      <w:proofErr w:type="spellStart"/>
      <w:r w:rsidRPr="00D329D5">
        <w:t>Cyberbezpieczny</w:t>
      </w:r>
      <w:proofErr w:type="spellEnd"/>
      <w:r w:rsidRPr="00D329D5">
        <w:t xml:space="preserve"> samorząd" w zakresie zgodnym z regulaminem naboru Konkursu Grantowego dostępnym na stronie https://www.gov.pl/web/cppc/cyberbezpieczny-samorzad oraz </w:t>
      </w:r>
      <w:r>
        <w:t>o</w:t>
      </w:r>
      <w:r w:rsidRPr="00D329D5">
        <w:t>k</w:t>
      </w:r>
      <w:r>
        <w:t xml:space="preserve">reślonym w niniejszym zapytaniu, a także zdefiniowaniu </w:t>
      </w:r>
      <w:r w:rsidR="00942297">
        <w:t>celowości</w:t>
      </w:r>
      <w:r>
        <w:t xml:space="preserve"> wprowadzenia potrzeb określonych  w projekcie</w:t>
      </w:r>
      <w:r w:rsidRPr="00D329D5">
        <w:t>.</w:t>
      </w:r>
    </w:p>
    <w:p w:rsidR="00942297" w:rsidRDefault="002D3685" w:rsidP="002D3685">
      <w:pPr>
        <w:spacing w:after="0" w:line="360" w:lineRule="auto"/>
        <w:jc w:val="both"/>
      </w:pPr>
      <w:r w:rsidRPr="00942297">
        <w:rPr>
          <w:b/>
        </w:rPr>
        <w:t>I. Miejsce realizacji zamówienia:</w:t>
      </w:r>
    </w:p>
    <w:p w:rsidR="002D3685" w:rsidRDefault="002D3685" w:rsidP="002D3685">
      <w:pPr>
        <w:spacing w:after="0" w:line="360" w:lineRule="auto"/>
        <w:jc w:val="both"/>
      </w:pPr>
      <w:r w:rsidRPr="00D329D5">
        <w:t xml:space="preserve">Urząd </w:t>
      </w:r>
      <w:r>
        <w:t>Miejski w Kozienicach,</w:t>
      </w:r>
      <w:r w:rsidRPr="00D329D5">
        <w:t xml:space="preserve"> ul. </w:t>
      </w:r>
      <w:r>
        <w:t>Parkowa 5</w:t>
      </w:r>
      <w:r w:rsidRPr="00D329D5">
        <w:t xml:space="preserve">, </w:t>
      </w:r>
      <w:r>
        <w:t>26-900 Kozienice</w:t>
      </w:r>
      <w:r w:rsidRPr="00D329D5">
        <w:t>.</w:t>
      </w:r>
    </w:p>
    <w:p w:rsidR="002D3685" w:rsidRPr="00942297" w:rsidRDefault="002D3685" w:rsidP="002D3685">
      <w:pPr>
        <w:spacing w:after="0" w:line="360" w:lineRule="auto"/>
        <w:jc w:val="both"/>
        <w:rPr>
          <w:b/>
        </w:rPr>
      </w:pPr>
      <w:r w:rsidRPr="00942297">
        <w:rPr>
          <w:b/>
        </w:rPr>
        <w:t xml:space="preserve">II. Dane dotyczące systemu teleinformatycznego: </w:t>
      </w:r>
    </w:p>
    <w:p w:rsidR="002D3685" w:rsidRDefault="002D3685" w:rsidP="00942297">
      <w:pPr>
        <w:spacing w:after="0" w:line="360" w:lineRule="auto"/>
        <w:jc w:val="both"/>
      </w:pPr>
      <w:r>
        <w:t xml:space="preserve">dwie </w:t>
      </w:r>
      <w:r w:rsidRPr="00D329D5">
        <w:t>lokalizacj</w:t>
      </w:r>
      <w:r>
        <w:t>e pod jednym adresem</w:t>
      </w:r>
      <w:r w:rsidRPr="00D329D5">
        <w:t xml:space="preserve">, </w:t>
      </w:r>
    </w:p>
    <w:p w:rsidR="002D3685" w:rsidRDefault="002D3685" w:rsidP="002D3685">
      <w:pPr>
        <w:spacing w:after="0" w:line="360" w:lineRule="auto"/>
        <w:jc w:val="both"/>
      </w:pPr>
      <w:r w:rsidRPr="00D329D5">
        <w:t>liczba serwerów – 4 szt.,</w:t>
      </w:r>
    </w:p>
    <w:p w:rsidR="002D3685" w:rsidRDefault="002D3685" w:rsidP="002D3685">
      <w:pPr>
        <w:spacing w:after="0" w:line="360" w:lineRule="auto"/>
        <w:jc w:val="both"/>
      </w:pPr>
      <w:r w:rsidRPr="00D329D5">
        <w:t xml:space="preserve">liczba klientów sieci/użytkowników – </w:t>
      </w:r>
      <w:r>
        <w:t>1</w:t>
      </w:r>
      <w:r w:rsidRPr="00D329D5">
        <w:t>30,</w:t>
      </w:r>
    </w:p>
    <w:p w:rsidR="002D3685" w:rsidRDefault="002D3685" w:rsidP="002D3685">
      <w:pPr>
        <w:spacing w:after="0" w:line="360" w:lineRule="auto"/>
        <w:jc w:val="both"/>
      </w:pPr>
      <w:r w:rsidRPr="00D329D5">
        <w:t>serwisy internetowe – 2,</w:t>
      </w:r>
    </w:p>
    <w:p w:rsidR="002D3685" w:rsidRDefault="002D3685" w:rsidP="002D3685">
      <w:pPr>
        <w:spacing w:after="0" w:line="360" w:lineRule="auto"/>
        <w:jc w:val="both"/>
      </w:pPr>
      <w:r w:rsidRPr="00D329D5">
        <w:t xml:space="preserve">urządzenia typu UTM – </w:t>
      </w:r>
      <w:r>
        <w:t>2</w:t>
      </w:r>
      <w:r w:rsidRPr="00D329D5">
        <w:t>.</w:t>
      </w:r>
    </w:p>
    <w:p w:rsidR="002D3685" w:rsidRDefault="002D3685" w:rsidP="00F07D84">
      <w:pPr>
        <w:spacing w:after="0" w:line="360" w:lineRule="auto"/>
        <w:jc w:val="both"/>
      </w:pPr>
      <w:r w:rsidRPr="00D329D5">
        <w:t xml:space="preserve">Uwaga: liczba urządzeń i użytkowników została podana na dzień ogłoszenia zapytania. Zamawiający zastrzega możliwość nieznacznej zmiany liczby urządzeń i użytkowników w okresie trwania </w:t>
      </w:r>
      <w:proofErr w:type="spellStart"/>
      <w:r w:rsidRPr="00D329D5">
        <w:t>umowy</w:t>
      </w:r>
      <w:proofErr w:type="spellEnd"/>
      <w:r w:rsidRPr="00D329D5">
        <w:t xml:space="preserve">, </w:t>
      </w:r>
    </w:p>
    <w:p w:rsidR="002D3685" w:rsidRDefault="002D3685" w:rsidP="00F07D84">
      <w:pPr>
        <w:spacing w:after="0" w:line="360" w:lineRule="auto"/>
        <w:jc w:val="both"/>
      </w:pPr>
      <w:r w:rsidRPr="00942297">
        <w:rPr>
          <w:b/>
        </w:rPr>
        <w:t>III. Audyt musi zostać wykonany po odbyciu wizji lokalnej miejsca realizacji zamówienia</w:t>
      </w:r>
      <w:r w:rsidRPr="00D329D5">
        <w:t>. Jedynie w przypadku konieczności drobnych zmian lub uzupełnień, dopuszczalna jest forma zdalna.</w:t>
      </w:r>
    </w:p>
    <w:p w:rsidR="002D3685" w:rsidRPr="00942297" w:rsidRDefault="002D3685" w:rsidP="00F07D84">
      <w:pPr>
        <w:spacing w:after="0" w:line="360" w:lineRule="auto"/>
        <w:jc w:val="both"/>
        <w:rPr>
          <w:b/>
        </w:rPr>
      </w:pPr>
      <w:r w:rsidRPr="00942297">
        <w:rPr>
          <w:b/>
        </w:rPr>
        <w:t>IV. Audyt wstępny musi być przeprowadzony przez osobę posiadającą uprawnienia wymienione</w:t>
      </w:r>
      <w:r w:rsidR="00942297">
        <w:rPr>
          <w:b/>
        </w:rPr>
        <w:t xml:space="preserve"> w pkt. IX zapytania ofertowego</w:t>
      </w:r>
      <w:r w:rsidRPr="00942297">
        <w:rPr>
          <w:b/>
        </w:rPr>
        <w:t xml:space="preserve">. </w:t>
      </w:r>
    </w:p>
    <w:p w:rsidR="002D3685" w:rsidRPr="00942297" w:rsidRDefault="002D3685" w:rsidP="00F07D84">
      <w:pPr>
        <w:spacing w:after="0" w:line="360" w:lineRule="auto"/>
        <w:jc w:val="both"/>
        <w:rPr>
          <w:b/>
        </w:rPr>
      </w:pPr>
      <w:r w:rsidRPr="00942297">
        <w:rPr>
          <w:b/>
        </w:rPr>
        <w:t xml:space="preserve">V. Wykonanie usługi obejmuje następujące etapy: </w:t>
      </w:r>
    </w:p>
    <w:p w:rsidR="002D3685" w:rsidRDefault="002D3685" w:rsidP="00F07D84">
      <w:pPr>
        <w:spacing w:after="0" w:line="360" w:lineRule="auto"/>
        <w:jc w:val="both"/>
      </w:pPr>
      <w:r>
        <w:t>W</w:t>
      </w:r>
      <w:r w:rsidRPr="00D329D5">
        <w:t>ykonanie audytu wstępnego zgodności KRI zgodnie z przepisami prawa obowiązującymi w tym zakresie oraz uwzględniającego zagadnienia określone w Załączniku Nr 6 do Regulaminu konkursu grantowego „</w:t>
      </w:r>
      <w:proofErr w:type="spellStart"/>
      <w:r w:rsidRPr="00D329D5">
        <w:t>Cyberbezpieczny</w:t>
      </w:r>
      <w:proofErr w:type="spellEnd"/>
      <w:r w:rsidRPr="00D329D5">
        <w:t xml:space="preserve"> samorząd" </w:t>
      </w:r>
    </w:p>
    <w:p w:rsidR="00942297" w:rsidRDefault="002D3685" w:rsidP="00F07D84">
      <w:pPr>
        <w:spacing w:after="0" w:line="360" w:lineRule="auto"/>
        <w:jc w:val="both"/>
      </w:pPr>
      <w:r w:rsidRPr="00D329D5">
        <w:t>Raport z audyt</w:t>
      </w:r>
      <w:r>
        <w:t>u</w:t>
      </w:r>
      <w:r w:rsidRPr="00D329D5">
        <w:t xml:space="preserve"> Wykonawca dostarcza Zamawiającemu w wersji papierowej i elektronicznej. Raport z audytu wstępnego </w:t>
      </w:r>
      <w:r>
        <w:t>p</w:t>
      </w:r>
      <w:r w:rsidRPr="00D329D5">
        <w:t xml:space="preserve">owinien być podpisany przez audytora opracowującego audyt własnoręcznie w </w:t>
      </w:r>
      <w:r w:rsidRPr="00D329D5">
        <w:lastRenderedPageBreak/>
        <w:t xml:space="preserve">przypadku wersji papierowej podpisem, a w przypadku wersji elektronicznej podpisem kwalifikowanym lub podpisem. Zamawiający zastrzega prawo do wniesienia uwag do przedłożonej dokumentacji, a Wykonawca zobowiązuje się do jej skorygowania i uwzględnienia wniesionych uwag. </w:t>
      </w:r>
    </w:p>
    <w:p w:rsidR="00942297" w:rsidRPr="00F91BDD" w:rsidRDefault="002D3685" w:rsidP="00F07D84">
      <w:pPr>
        <w:spacing w:after="0" w:line="360" w:lineRule="auto"/>
        <w:jc w:val="both"/>
        <w:rPr>
          <w:b/>
        </w:rPr>
      </w:pPr>
      <w:r w:rsidRPr="00F91BDD">
        <w:rPr>
          <w:b/>
        </w:rPr>
        <w:t>VI.</w:t>
      </w:r>
      <w:r w:rsidR="00942297" w:rsidRPr="00F91BDD">
        <w:rPr>
          <w:b/>
        </w:rPr>
        <w:t xml:space="preserve"> </w:t>
      </w:r>
      <w:r w:rsidRPr="00F91BDD">
        <w:rPr>
          <w:b/>
        </w:rPr>
        <w:t xml:space="preserve">Audyt </w:t>
      </w:r>
      <w:r w:rsidR="00942297" w:rsidRPr="00F91BDD">
        <w:rPr>
          <w:b/>
        </w:rPr>
        <w:t>początkowy</w:t>
      </w:r>
      <w:r w:rsidRPr="00F91BDD">
        <w:rPr>
          <w:b/>
        </w:rPr>
        <w:t xml:space="preserve"> </w:t>
      </w:r>
    </w:p>
    <w:p w:rsidR="002D3685" w:rsidRDefault="002D3685" w:rsidP="00F07D84">
      <w:pPr>
        <w:spacing w:after="0" w:line="360" w:lineRule="auto"/>
        <w:jc w:val="both"/>
      </w:pPr>
      <w:r w:rsidRPr="00D329D5">
        <w:t xml:space="preserve">Przeprowadzenie audytu </w:t>
      </w:r>
      <w:r w:rsidR="00942297">
        <w:t>początkowego</w:t>
      </w:r>
      <w:r w:rsidRPr="00D329D5">
        <w:t xml:space="preserve"> zgodnego z KRI/KSC obejmuje: </w:t>
      </w:r>
    </w:p>
    <w:p w:rsidR="002D3685" w:rsidRDefault="002D3685" w:rsidP="00F07D84">
      <w:pPr>
        <w:spacing w:after="0" w:line="360" w:lineRule="auto"/>
        <w:jc w:val="both"/>
      </w:pPr>
      <w:r w:rsidRPr="00D329D5">
        <w:t xml:space="preserve">1. Analizę wstępną stanu bezpieczeństwa informacji w Urzędzie w zakresie objętym audytem. </w:t>
      </w:r>
    </w:p>
    <w:p w:rsidR="002D3685" w:rsidRDefault="002D3685" w:rsidP="00F07D84">
      <w:pPr>
        <w:spacing w:after="0" w:line="360" w:lineRule="auto"/>
        <w:jc w:val="both"/>
      </w:pPr>
      <w:r w:rsidRPr="00D329D5">
        <w:t xml:space="preserve">2. Zebranie wstępnych odpowiedzi i dowodów </w:t>
      </w:r>
      <w:proofErr w:type="spellStart"/>
      <w:r w:rsidRPr="00D329D5">
        <w:t>audytowych</w:t>
      </w:r>
      <w:proofErr w:type="spellEnd"/>
      <w:r w:rsidRPr="00D329D5">
        <w:t xml:space="preserve">. </w:t>
      </w:r>
    </w:p>
    <w:p w:rsidR="002D3685" w:rsidRDefault="002D3685" w:rsidP="00F07D84">
      <w:pPr>
        <w:spacing w:after="0" w:line="360" w:lineRule="auto"/>
        <w:jc w:val="both"/>
      </w:pPr>
      <w:r w:rsidRPr="00D329D5">
        <w:t xml:space="preserve">3. Wspólne zdefiniowanie rekomendowanych działań korygujących w zakresie objętym audytem; </w:t>
      </w:r>
    </w:p>
    <w:p w:rsidR="002D3685" w:rsidRDefault="002D3685" w:rsidP="00F07D84">
      <w:pPr>
        <w:spacing w:after="0" w:line="360" w:lineRule="auto"/>
        <w:jc w:val="both"/>
      </w:pPr>
      <w:r w:rsidRPr="00D329D5">
        <w:t xml:space="preserve">4. Wykonanie audytu zgodnie z wymaganiami art. 21 - 23 ustawy o Krajowym Systemie </w:t>
      </w:r>
      <w:proofErr w:type="spellStart"/>
      <w:r w:rsidRPr="00D329D5">
        <w:t>Cyberbezpieczeństwa</w:t>
      </w:r>
      <w:proofErr w:type="spellEnd"/>
      <w:r w:rsidRPr="00D329D5">
        <w:t xml:space="preserve"> (KSC) i § 19 rozporządzenia w sprawie Krajowych Ram </w:t>
      </w:r>
      <w:proofErr w:type="spellStart"/>
      <w:r w:rsidRPr="00D329D5">
        <w:t>Interoperacyjności</w:t>
      </w:r>
      <w:proofErr w:type="spellEnd"/>
      <w:r w:rsidRPr="00D329D5">
        <w:t xml:space="preserve"> (KRI) w szczególności: </w:t>
      </w:r>
    </w:p>
    <w:p w:rsidR="002D3685" w:rsidRDefault="002D3685" w:rsidP="00F07D84">
      <w:pPr>
        <w:spacing w:after="0" w:line="360" w:lineRule="auto"/>
        <w:jc w:val="both"/>
      </w:pPr>
      <w:r w:rsidRPr="00D329D5">
        <w:t xml:space="preserve">1) Ocena zgodności z Krajowymi Ramami </w:t>
      </w:r>
      <w:proofErr w:type="spellStart"/>
      <w:r w:rsidRPr="00D329D5">
        <w:t>Interoperacyjności</w:t>
      </w:r>
      <w:proofErr w:type="spellEnd"/>
      <w:r w:rsidRPr="00D329D5">
        <w:t xml:space="preserve"> (KRI) / Krajowym Systemie </w:t>
      </w:r>
      <w:proofErr w:type="spellStart"/>
      <w:r w:rsidRPr="00D329D5">
        <w:t>Cyberbezpieczeństwa</w:t>
      </w:r>
      <w:proofErr w:type="spellEnd"/>
      <w:r w:rsidRPr="00D329D5">
        <w:t xml:space="preserve"> (KSC); </w:t>
      </w:r>
    </w:p>
    <w:p w:rsidR="00942297" w:rsidRDefault="002D3685" w:rsidP="00F07D84">
      <w:pPr>
        <w:pStyle w:val="Akapitzlist"/>
        <w:numPr>
          <w:ilvl w:val="0"/>
          <w:numId w:val="38"/>
        </w:numPr>
        <w:spacing w:line="360" w:lineRule="auto"/>
        <w:jc w:val="both"/>
      </w:pPr>
      <w:r w:rsidRPr="00D329D5">
        <w:t xml:space="preserve">wyznaczenie osoby do kontaktu – KSC, </w:t>
      </w:r>
    </w:p>
    <w:p w:rsidR="00942297" w:rsidRDefault="002D3685" w:rsidP="00F07D84">
      <w:pPr>
        <w:pStyle w:val="Akapitzlist"/>
        <w:numPr>
          <w:ilvl w:val="0"/>
          <w:numId w:val="38"/>
        </w:numPr>
        <w:spacing w:line="360" w:lineRule="auto"/>
        <w:jc w:val="both"/>
      </w:pPr>
      <w:r w:rsidRPr="00D329D5">
        <w:t>przekazanie danych osoby wyznaczonej – KSC,</w:t>
      </w:r>
    </w:p>
    <w:p w:rsidR="00942297" w:rsidRDefault="002D3685" w:rsidP="00F07D84">
      <w:pPr>
        <w:pStyle w:val="Akapitzlist"/>
        <w:numPr>
          <w:ilvl w:val="0"/>
          <w:numId w:val="38"/>
        </w:numPr>
        <w:spacing w:line="360" w:lineRule="auto"/>
        <w:jc w:val="both"/>
      </w:pPr>
      <w:r w:rsidRPr="00D329D5">
        <w:t>zapewnienie zarządzania incydentem – KSC,</w:t>
      </w:r>
    </w:p>
    <w:p w:rsidR="00942297" w:rsidRDefault="002D3685" w:rsidP="00F07D84">
      <w:pPr>
        <w:pStyle w:val="Akapitzlist"/>
        <w:numPr>
          <w:ilvl w:val="0"/>
          <w:numId w:val="38"/>
        </w:numPr>
        <w:spacing w:line="360" w:lineRule="auto"/>
        <w:jc w:val="both"/>
      </w:pPr>
      <w:r w:rsidRPr="00D329D5">
        <w:t>zgłaszanie incydentu – KSC,</w:t>
      </w:r>
    </w:p>
    <w:p w:rsidR="00942297" w:rsidRDefault="002D3685" w:rsidP="00F07D84">
      <w:pPr>
        <w:pStyle w:val="Akapitzlist"/>
        <w:numPr>
          <w:ilvl w:val="0"/>
          <w:numId w:val="38"/>
        </w:numPr>
        <w:spacing w:line="360" w:lineRule="auto"/>
        <w:jc w:val="both"/>
      </w:pPr>
      <w:r w:rsidRPr="00D329D5">
        <w:t>zapewnienie obsługi incydentu – KSC,</w:t>
      </w:r>
    </w:p>
    <w:p w:rsidR="00942297" w:rsidRDefault="002D3685" w:rsidP="00F07D84">
      <w:pPr>
        <w:pStyle w:val="Akapitzlist"/>
        <w:numPr>
          <w:ilvl w:val="0"/>
          <w:numId w:val="38"/>
        </w:numPr>
        <w:spacing w:line="360" w:lineRule="auto"/>
        <w:jc w:val="both"/>
      </w:pPr>
      <w:r w:rsidRPr="00D329D5">
        <w:t>zapewnienie dostępu do wiedzy – KSC,</w:t>
      </w:r>
    </w:p>
    <w:p w:rsidR="00942297" w:rsidRDefault="002D3685" w:rsidP="00F07D84">
      <w:pPr>
        <w:pStyle w:val="Akapitzlist"/>
        <w:numPr>
          <w:ilvl w:val="0"/>
          <w:numId w:val="38"/>
        </w:numPr>
        <w:spacing w:line="360" w:lineRule="auto"/>
        <w:jc w:val="both"/>
      </w:pPr>
      <w:r w:rsidRPr="00D329D5">
        <w:t xml:space="preserve">opracowanie, ustanowienie i wdrożenie SZBI – KRI, </w:t>
      </w:r>
    </w:p>
    <w:p w:rsidR="00942297" w:rsidRDefault="002D3685" w:rsidP="00F07D84">
      <w:pPr>
        <w:pStyle w:val="Akapitzlist"/>
        <w:numPr>
          <w:ilvl w:val="0"/>
          <w:numId w:val="38"/>
        </w:numPr>
        <w:spacing w:line="360" w:lineRule="auto"/>
        <w:jc w:val="both"/>
      </w:pPr>
      <w:r w:rsidRPr="00D329D5">
        <w:t>monitorowanie i przegląd SZBI – KRI,</w:t>
      </w:r>
    </w:p>
    <w:p w:rsidR="00942297" w:rsidRDefault="002D3685" w:rsidP="00F07D84">
      <w:pPr>
        <w:pStyle w:val="Akapitzlist"/>
        <w:numPr>
          <w:ilvl w:val="0"/>
          <w:numId w:val="38"/>
        </w:numPr>
        <w:spacing w:line="360" w:lineRule="auto"/>
        <w:jc w:val="both"/>
      </w:pPr>
      <w:r w:rsidRPr="00D329D5">
        <w:t>doskonalenie SZBI – KRI,</w:t>
      </w:r>
    </w:p>
    <w:p w:rsidR="00942297" w:rsidRDefault="002D3685" w:rsidP="00F07D84">
      <w:pPr>
        <w:pStyle w:val="Akapitzlist"/>
        <w:numPr>
          <w:ilvl w:val="0"/>
          <w:numId w:val="38"/>
        </w:numPr>
        <w:spacing w:line="360" w:lineRule="auto"/>
        <w:jc w:val="both"/>
      </w:pPr>
      <w:r w:rsidRPr="00D329D5">
        <w:t xml:space="preserve">aktualizowanie regulacji wewnętrznych – KRI, </w:t>
      </w:r>
    </w:p>
    <w:p w:rsidR="00942297" w:rsidRDefault="002D3685" w:rsidP="00F07D84">
      <w:pPr>
        <w:pStyle w:val="Akapitzlist"/>
        <w:numPr>
          <w:ilvl w:val="0"/>
          <w:numId w:val="38"/>
        </w:numPr>
        <w:spacing w:line="360" w:lineRule="auto"/>
        <w:jc w:val="both"/>
      </w:pPr>
      <w:r w:rsidRPr="00D329D5">
        <w:t>inwentaryzacja sprzętu i oprogramowania – KRI,</w:t>
      </w:r>
    </w:p>
    <w:p w:rsidR="00942297" w:rsidRDefault="002D3685" w:rsidP="00F07D84">
      <w:pPr>
        <w:pStyle w:val="Akapitzlist"/>
        <w:numPr>
          <w:ilvl w:val="0"/>
          <w:numId w:val="38"/>
        </w:numPr>
        <w:spacing w:line="360" w:lineRule="auto"/>
        <w:jc w:val="both"/>
      </w:pPr>
      <w:r w:rsidRPr="00D329D5">
        <w:t xml:space="preserve">przeprowadzanie okresowych analiz ryzyka – KRI, </w:t>
      </w:r>
    </w:p>
    <w:p w:rsidR="00942297" w:rsidRDefault="002D3685" w:rsidP="00F07D84">
      <w:pPr>
        <w:pStyle w:val="Akapitzlist"/>
        <w:numPr>
          <w:ilvl w:val="0"/>
          <w:numId w:val="38"/>
        </w:numPr>
        <w:spacing w:line="360" w:lineRule="auto"/>
        <w:jc w:val="both"/>
      </w:pPr>
      <w:r w:rsidRPr="00D329D5">
        <w:t>postępowanie z ryzykiem – KRI,</w:t>
      </w:r>
    </w:p>
    <w:p w:rsidR="00942297" w:rsidRDefault="002D3685" w:rsidP="00F07D84">
      <w:pPr>
        <w:pStyle w:val="Akapitzlist"/>
        <w:numPr>
          <w:ilvl w:val="0"/>
          <w:numId w:val="38"/>
        </w:numPr>
        <w:spacing w:line="360" w:lineRule="auto"/>
        <w:jc w:val="both"/>
      </w:pPr>
      <w:r w:rsidRPr="00D329D5">
        <w:t>zarządzanie uprawnieniami – KRI,</w:t>
      </w:r>
    </w:p>
    <w:p w:rsidR="00942297" w:rsidRDefault="002D3685" w:rsidP="00F07D84">
      <w:pPr>
        <w:pStyle w:val="Akapitzlist"/>
        <w:numPr>
          <w:ilvl w:val="0"/>
          <w:numId w:val="38"/>
        </w:numPr>
        <w:spacing w:line="360" w:lineRule="auto"/>
        <w:jc w:val="both"/>
      </w:pPr>
      <w:r w:rsidRPr="00D329D5">
        <w:t xml:space="preserve">szkolenia i uświadamianie – KRI, </w:t>
      </w:r>
    </w:p>
    <w:p w:rsidR="00942297" w:rsidRDefault="002D3685" w:rsidP="00F07D84">
      <w:pPr>
        <w:pStyle w:val="Akapitzlist"/>
        <w:numPr>
          <w:ilvl w:val="0"/>
          <w:numId w:val="38"/>
        </w:numPr>
        <w:spacing w:line="360" w:lineRule="auto"/>
        <w:jc w:val="both"/>
      </w:pPr>
      <w:r w:rsidRPr="00D329D5">
        <w:t>monitorowanie dostępu do informacji – KRI,</w:t>
      </w:r>
    </w:p>
    <w:p w:rsidR="00942297" w:rsidRDefault="002D3685" w:rsidP="00F07D84">
      <w:pPr>
        <w:pStyle w:val="Akapitzlist"/>
        <w:numPr>
          <w:ilvl w:val="0"/>
          <w:numId w:val="38"/>
        </w:numPr>
        <w:spacing w:line="360" w:lineRule="auto"/>
        <w:jc w:val="both"/>
      </w:pPr>
      <w:r w:rsidRPr="00D329D5">
        <w:t xml:space="preserve">monitorowanie nieautoryzowanych zmian – KRI, </w:t>
      </w:r>
    </w:p>
    <w:p w:rsidR="00942297" w:rsidRDefault="002D3685" w:rsidP="00F07D84">
      <w:pPr>
        <w:pStyle w:val="Akapitzlist"/>
        <w:numPr>
          <w:ilvl w:val="0"/>
          <w:numId w:val="38"/>
        </w:numPr>
        <w:spacing w:line="360" w:lineRule="auto"/>
        <w:jc w:val="both"/>
      </w:pPr>
      <w:r w:rsidRPr="00D329D5">
        <w:t xml:space="preserve">zabezpieczenie nieautoryzowanego dostępu – KRI, </w:t>
      </w:r>
    </w:p>
    <w:p w:rsidR="00942297" w:rsidRDefault="002D3685" w:rsidP="00F07D84">
      <w:pPr>
        <w:pStyle w:val="Akapitzlist"/>
        <w:numPr>
          <w:ilvl w:val="0"/>
          <w:numId w:val="38"/>
        </w:numPr>
        <w:spacing w:line="360" w:lineRule="auto"/>
        <w:jc w:val="both"/>
      </w:pPr>
      <w:r w:rsidRPr="00D329D5">
        <w:lastRenderedPageBreak/>
        <w:t xml:space="preserve">ustanowienie zasad bezpiecznej pracy mobilnej – KRI, </w:t>
      </w:r>
    </w:p>
    <w:p w:rsidR="00942297" w:rsidRDefault="002D3685" w:rsidP="00F07D84">
      <w:pPr>
        <w:pStyle w:val="Akapitzlist"/>
        <w:numPr>
          <w:ilvl w:val="0"/>
          <w:numId w:val="38"/>
        </w:numPr>
        <w:spacing w:line="360" w:lineRule="auto"/>
        <w:jc w:val="both"/>
      </w:pPr>
      <w:r w:rsidRPr="00D329D5">
        <w:t xml:space="preserve">zabezpieczenie informacji przed nieuprawnionym ujawnieniem – KRI, </w:t>
      </w:r>
    </w:p>
    <w:p w:rsidR="00942297" w:rsidRDefault="002D3685" w:rsidP="00F07D84">
      <w:pPr>
        <w:pStyle w:val="Akapitzlist"/>
        <w:numPr>
          <w:ilvl w:val="0"/>
          <w:numId w:val="38"/>
        </w:numPr>
        <w:spacing w:line="360" w:lineRule="auto"/>
        <w:jc w:val="both"/>
      </w:pPr>
      <w:r w:rsidRPr="00D329D5">
        <w:t>zabezpieczenie informacji przed nieuprawnioną modyfikacją – KRI,</w:t>
      </w:r>
    </w:p>
    <w:p w:rsidR="00942297" w:rsidRDefault="002D3685" w:rsidP="00F07D84">
      <w:pPr>
        <w:pStyle w:val="Akapitzlist"/>
        <w:numPr>
          <w:ilvl w:val="0"/>
          <w:numId w:val="38"/>
        </w:numPr>
        <w:spacing w:line="360" w:lineRule="auto"/>
        <w:jc w:val="both"/>
      </w:pPr>
      <w:r w:rsidRPr="00D329D5">
        <w:t xml:space="preserve">zabezpieczenie informacji przed nieuprawnionym usunięciem lub zniszczeniem – KRI, </w:t>
      </w:r>
    </w:p>
    <w:p w:rsidR="00942297" w:rsidRDefault="002D3685" w:rsidP="00F07D84">
      <w:pPr>
        <w:pStyle w:val="Akapitzlist"/>
        <w:numPr>
          <w:ilvl w:val="0"/>
          <w:numId w:val="38"/>
        </w:numPr>
        <w:spacing w:line="360" w:lineRule="auto"/>
        <w:jc w:val="both"/>
      </w:pPr>
      <w:r w:rsidRPr="00D329D5">
        <w:t xml:space="preserve">zawieranie w umowach serwisowych zapisów o bezpieczeństwie – KRI, </w:t>
      </w:r>
    </w:p>
    <w:p w:rsidR="00942297" w:rsidRDefault="002D3685" w:rsidP="00F07D84">
      <w:pPr>
        <w:pStyle w:val="Akapitzlist"/>
        <w:numPr>
          <w:ilvl w:val="0"/>
          <w:numId w:val="38"/>
        </w:numPr>
        <w:spacing w:line="360" w:lineRule="auto"/>
        <w:jc w:val="both"/>
      </w:pPr>
      <w:r w:rsidRPr="00D329D5">
        <w:t>ustalenie zasad postępowania z informacjami w celu minimalizacji kradzieży informacji i środków przetwarzania – KRI,</w:t>
      </w:r>
    </w:p>
    <w:p w:rsidR="00942297" w:rsidRDefault="002D3685" w:rsidP="00F07D84">
      <w:pPr>
        <w:pStyle w:val="Akapitzlist"/>
        <w:numPr>
          <w:ilvl w:val="0"/>
          <w:numId w:val="38"/>
        </w:numPr>
        <w:spacing w:line="360" w:lineRule="auto"/>
        <w:jc w:val="both"/>
      </w:pPr>
      <w:r w:rsidRPr="00D329D5">
        <w:t xml:space="preserve">aktualizowanie oprogramowania – KRI, </w:t>
      </w:r>
    </w:p>
    <w:p w:rsidR="00942297" w:rsidRDefault="002D3685" w:rsidP="00F07D84">
      <w:pPr>
        <w:pStyle w:val="Akapitzlist"/>
        <w:numPr>
          <w:ilvl w:val="0"/>
          <w:numId w:val="38"/>
        </w:numPr>
        <w:spacing w:line="360" w:lineRule="auto"/>
        <w:jc w:val="both"/>
      </w:pPr>
      <w:r w:rsidRPr="00D329D5">
        <w:t>minimalizowanie ryzyka utraty informacji w wyniku awarii systemu – KRI,</w:t>
      </w:r>
    </w:p>
    <w:p w:rsidR="00942297" w:rsidRDefault="002D3685" w:rsidP="00F07D84">
      <w:pPr>
        <w:pStyle w:val="Akapitzlist"/>
        <w:numPr>
          <w:ilvl w:val="0"/>
          <w:numId w:val="38"/>
        </w:numPr>
        <w:spacing w:line="360" w:lineRule="auto"/>
        <w:jc w:val="both"/>
      </w:pPr>
      <w:r w:rsidRPr="00D329D5">
        <w:t xml:space="preserve">ochrona systemu przed błędami – KRI, </w:t>
      </w:r>
    </w:p>
    <w:p w:rsidR="00942297" w:rsidRDefault="002D3685" w:rsidP="00F07D84">
      <w:pPr>
        <w:pStyle w:val="Akapitzlist"/>
        <w:numPr>
          <w:ilvl w:val="0"/>
          <w:numId w:val="38"/>
        </w:numPr>
        <w:spacing w:line="360" w:lineRule="auto"/>
        <w:jc w:val="both"/>
      </w:pPr>
      <w:r w:rsidRPr="00D329D5">
        <w:t xml:space="preserve">stosowanie mechanizmów kryptograficznych w systemach – KRI, </w:t>
      </w:r>
    </w:p>
    <w:p w:rsidR="00942297" w:rsidRDefault="002D3685" w:rsidP="00F07D84">
      <w:pPr>
        <w:pStyle w:val="Akapitzlist"/>
        <w:numPr>
          <w:ilvl w:val="0"/>
          <w:numId w:val="38"/>
        </w:numPr>
        <w:spacing w:line="360" w:lineRule="auto"/>
        <w:jc w:val="both"/>
      </w:pPr>
      <w:r w:rsidRPr="00D329D5">
        <w:t xml:space="preserve">zapewnienie bezpieczeństwa plików systemowych – KRI, </w:t>
      </w:r>
    </w:p>
    <w:p w:rsidR="00942297" w:rsidRDefault="002D3685" w:rsidP="00F07D84">
      <w:pPr>
        <w:pStyle w:val="Akapitzlist"/>
        <w:numPr>
          <w:ilvl w:val="0"/>
          <w:numId w:val="38"/>
        </w:numPr>
        <w:spacing w:line="360" w:lineRule="auto"/>
        <w:jc w:val="both"/>
      </w:pPr>
      <w:r w:rsidRPr="00D329D5">
        <w:t xml:space="preserve">zarządzanie </w:t>
      </w:r>
      <w:proofErr w:type="spellStart"/>
      <w:r w:rsidRPr="00D329D5">
        <w:t>podatnościami</w:t>
      </w:r>
      <w:proofErr w:type="spellEnd"/>
      <w:r w:rsidRPr="00D329D5">
        <w:t xml:space="preserve"> systemów – KRI, </w:t>
      </w:r>
    </w:p>
    <w:p w:rsidR="00942297" w:rsidRDefault="002D3685" w:rsidP="00F07D84">
      <w:pPr>
        <w:pStyle w:val="Akapitzlist"/>
        <w:numPr>
          <w:ilvl w:val="0"/>
          <w:numId w:val="38"/>
        </w:numPr>
        <w:spacing w:line="360" w:lineRule="auto"/>
        <w:jc w:val="both"/>
      </w:pPr>
      <w:r w:rsidRPr="00D329D5">
        <w:t xml:space="preserve">kontrola zgodności systemów z regulacjami – KRI, </w:t>
      </w:r>
    </w:p>
    <w:p w:rsidR="002D3685" w:rsidRDefault="002D3685" w:rsidP="00F07D84">
      <w:pPr>
        <w:pStyle w:val="Akapitzlist"/>
        <w:numPr>
          <w:ilvl w:val="0"/>
          <w:numId w:val="38"/>
        </w:numPr>
        <w:spacing w:line="360" w:lineRule="auto"/>
        <w:jc w:val="both"/>
      </w:pPr>
      <w:r w:rsidRPr="00D329D5">
        <w:t xml:space="preserve">zapewnienie audytu bezpieczeństwa informacji nie rzadziej niż raz na rok – KRI. </w:t>
      </w:r>
    </w:p>
    <w:p w:rsidR="002D3685" w:rsidRDefault="002D3685" w:rsidP="00F07D84">
      <w:pPr>
        <w:spacing w:after="0" w:line="360" w:lineRule="auto"/>
        <w:jc w:val="both"/>
      </w:pPr>
      <w:r w:rsidRPr="00D329D5">
        <w:t xml:space="preserve">2) Opracowanie raportu z audytu wskazującego wykryte podatności oraz błędy wraz rekomendacjami działań naprawczych i korygujących </w:t>
      </w:r>
    </w:p>
    <w:p w:rsidR="00F91BDD" w:rsidRDefault="002D3685" w:rsidP="00F07D84">
      <w:pPr>
        <w:spacing w:after="0" w:line="360" w:lineRule="auto"/>
        <w:jc w:val="both"/>
      </w:pPr>
      <w:r w:rsidRPr="00D329D5">
        <w:t xml:space="preserve">3) Wsparcie </w:t>
      </w:r>
      <w:proofErr w:type="spellStart"/>
      <w:r w:rsidRPr="00D329D5">
        <w:t>poaudytowe</w:t>
      </w:r>
      <w:proofErr w:type="spellEnd"/>
      <w:r w:rsidRPr="00D329D5">
        <w:t>, które polegać ma m.in. na udzielaniu informacji na temat audytowanych elementów wynikających z raportu. Czas dla Zamawiającego na zapoznanie się z raportem i zadawanie pytań odnośnie raportu min. 3 miesiąc</w:t>
      </w:r>
      <w:r w:rsidR="00F91BDD">
        <w:t>e</w:t>
      </w:r>
      <w:r w:rsidRPr="00D329D5">
        <w:t xml:space="preserve"> od przeprowadzenia audytu i przedstawieniu raportu. </w:t>
      </w:r>
    </w:p>
    <w:sectPr w:rsidR="00F91BDD" w:rsidSect="007221FC">
      <w:headerReference w:type="default" r:id="rId8"/>
      <w:footerReference w:type="default" r:id="rId9"/>
      <w:pgSz w:w="11906" w:h="16838"/>
      <w:pgMar w:top="1134" w:right="1134" w:bottom="1418" w:left="1418" w:header="1814" w:footer="41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4426B" w:rsidRDefault="00B4426B" w:rsidP="00B446A9">
      <w:pPr>
        <w:spacing w:after="0" w:line="240" w:lineRule="auto"/>
      </w:pPr>
      <w:r>
        <w:separator/>
      </w:r>
    </w:p>
  </w:endnote>
  <w:endnote w:type="continuationSeparator" w:id="0">
    <w:p w:rsidR="00B4426B" w:rsidRDefault="00B4426B" w:rsidP="00B446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367">
    <w:altName w:val="Cambria"/>
    <w:charset w:val="00"/>
    <w:family w:val="auto"/>
    <w:pitch w:val="variable"/>
    <w:sig w:usb0="00000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Optima, 'Times New Roman'">
    <w:altName w:val="Calibri"/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4127" w:rsidRDefault="004F4127" w:rsidP="004F4127">
    <w:pPr>
      <w:pStyle w:val="Stopka"/>
      <w:jc w:val="center"/>
    </w:pPr>
    <w:r w:rsidRPr="004F4127">
      <w:rPr>
        <w:noProof/>
        <w:lang w:eastAsia="pl-PL"/>
      </w:rPr>
      <w:drawing>
        <wp:inline distT="0" distB="0" distL="0" distR="0">
          <wp:extent cx="5143500" cy="915854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65169" cy="93751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4426B" w:rsidRDefault="00B4426B" w:rsidP="00B446A9">
      <w:pPr>
        <w:spacing w:after="0" w:line="240" w:lineRule="auto"/>
      </w:pPr>
      <w:r>
        <w:separator/>
      </w:r>
    </w:p>
  </w:footnote>
  <w:footnote w:type="continuationSeparator" w:id="0">
    <w:p w:rsidR="00B4426B" w:rsidRDefault="00B4426B" w:rsidP="00B446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4127" w:rsidRDefault="004F4127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0</wp:posOffset>
          </wp:positionH>
          <wp:positionV relativeFrom="page">
            <wp:posOffset>332105</wp:posOffset>
          </wp:positionV>
          <wp:extent cx="6479540" cy="669290"/>
          <wp:effectExtent l="0" t="0" r="0" b="0"/>
          <wp:wrapSquare wrapText="bothSides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az 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79540" cy="6692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AE7B3CDE"/>
    <w:multiLevelType w:val="hybridMultilevel"/>
    <w:tmpl w:val="64DCBD0A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BAE6B083"/>
    <w:multiLevelType w:val="hybridMultilevel"/>
    <w:tmpl w:val="4C3F54B1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D9180858"/>
    <w:multiLevelType w:val="hybridMultilevel"/>
    <w:tmpl w:val="71517C2E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00FF5566"/>
    <w:multiLevelType w:val="hybridMultilevel"/>
    <w:tmpl w:val="BF86F8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3831233"/>
    <w:multiLevelType w:val="hybridMultilevel"/>
    <w:tmpl w:val="117C42DA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090E08CD"/>
    <w:multiLevelType w:val="hybridMultilevel"/>
    <w:tmpl w:val="C116E86E"/>
    <w:lvl w:ilvl="0" w:tplc="D1229B2E">
      <w:numFmt w:val="bullet"/>
      <w:lvlText w:val="•"/>
      <w:lvlJc w:val="left"/>
      <w:pPr>
        <w:ind w:left="1575" w:hanging="855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0D122777"/>
    <w:multiLevelType w:val="hybridMultilevel"/>
    <w:tmpl w:val="DFB0F13A"/>
    <w:lvl w:ilvl="0" w:tplc="122ED56A">
      <w:start w:val="1"/>
      <w:numFmt w:val="decimal"/>
      <w:lvlText w:val="%1."/>
      <w:lvlJc w:val="left"/>
      <w:pPr>
        <w:ind w:left="1110" w:hanging="75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D657EB6"/>
    <w:multiLevelType w:val="hybridMultilevel"/>
    <w:tmpl w:val="C86C7D6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1757253"/>
    <w:multiLevelType w:val="multilevel"/>
    <w:tmpl w:val="21A87E20"/>
    <w:lvl w:ilvl="0">
      <w:start w:val="1"/>
      <w:numFmt w:val="upperRoman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9">
    <w:nsid w:val="1D087510"/>
    <w:multiLevelType w:val="hybridMultilevel"/>
    <w:tmpl w:val="5EFA1F4C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1DFA3FC5"/>
    <w:multiLevelType w:val="hybridMultilevel"/>
    <w:tmpl w:val="84C4DAEA"/>
    <w:lvl w:ilvl="0" w:tplc="F9A83CA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797737A"/>
    <w:multiLevelType w:val="hybridMultilevel"/>
    <w:tmpl w:val="D38AFEE0"/>
    <w:lvl w:ilvl="0" w:tplc="7D9AE6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B1C3B89"/>
    <w:multiLevelType w:val="hybridMultilevel"/>
    <w:tmpl w:val="6F1E6EFD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>
    <w:nsid w:val="2BE77C4D"/>
    <w:multiLevelType w:val="hybridMultilevel"/>
    <w:tmpl w:val="F5D226C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C5C0617"/>
    <w:multiLevelType w:val="hybridMultilevel"/>
    <w:tmpl w:val="73702BE0"/>
    <w:lvl w:ilvl="0" w:tplc="93B2979C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159534E"/>
    <w:multiLevelType w:val="hybridMultilevel"/>
    <w:tmpl w:val="2E68D08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36157D5B"/>
    <w:multiLevelType w:val="hybridMultilevel"/>
    <w:tmpl w:val="27B4889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A4E6F5F"/>
    <w:multiLevelType w:val="hybridMultilevel"/>
    <w:tmpl w:val="9A4CF14C"/>
    <w:lvl w:ilvl="0" w:tplc="1EB2EF3C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CB41755"/>
    <w:multiLevelType w:val="hybridMultilevel"/>
    <w:tmpl w:val="74C66CE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4856EDE"/>
    <w:multiLevelType w:val="hybridMultilevel"/>
    <w:tmpl w:val="AEF0D18A"/>
    <w:lvl w:ilvl="0" w:tplc="D1229B2E">
      <w:numFmt w:val="bullet"/>
      <w:lvlText w:val="•"/>
      <w:lvlJc w:val="left"/>
      <w:pPr>
        <w:ind w:left="1215" w:hanging="855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4C5066D"/>
    <w:multiLevelType w:val="hybridMultilevel"/>
    <w:tmpl w:val="8C261D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5842937"/>
    <w:multiLevelType w:val="hybridMultilevel"/>
    <w:tmpl w:val="DC14A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77464BF"/>
    <w:multiLevelType w:val="hybridMultilevel"/>
    <w:tmpl w:val="9A5662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7C92302"/>
    <w:multiLevelType w:val="hybridMultilevel"/>
    <w:tmpl w:val="74C66CE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9365BB4"/>
    <w:multiLevelType w:val="hybridMultilevel"/>
    <w:tmpl w:val="48D2EE6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9E9407B"/>
    <w:multiLevelType w:val="hybridMultilevel"/>
    <w:tmpl w:val="A6569C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BE67EEA"/>
    <w:multiLevelType w:val="hybridMultilevel"/>
    <w:tmpl w:val="38BCF50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4CB57C23"/>
    <w:multiLevelType w:val="hybridMultilevel"/>
    <w:tmpl w:val="3F6C9304"/>
    <w:lvl w:ilvl="0" w:tplc="07A232EE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D767833"/>
    <w:multiLevelType w:val="hybridMultilevel"/>
    <w:tmpl w:val="33D4994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F6A663A"/>
    <w:multiLevelType w:val="hybridMultilevel"/>
    <w:tmpl w:val="E2CE7B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6BD549A"/>
    <w:multiLevelType w:val="hybridMultilevel"/>
    <w:tmpl w:val="C6F05B9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57482F06"/>
    <w:multiLevelType w:val="hybridMultilevel"/>
    <w:tmpl w:val="F9CA81EC"/>
    <w:lvl w:ilvl="0" w:tplc="B254B658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32">
    <w:nsid w:val="5BE22EB0"/>
    <w:multiLevelType w:val="hybridMultilevel"/>
    <w:tmpl w:val="081440D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CF853C3"/>
    <w:multiLevelType w:val="hybridMultilevel"/>
    <w:tmpl w:val="6E041CD4"/>
    <w:lvl w:ilvl="0" w:tplc="041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34">
    <w:nsid w:val="6B957081"/>
    <w:multiLevelType w:val="hybridMultilevel"/>
    <w:tmpl w:val="9C70F06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C4C6C7B"/>
    <w:multiLevelType w:val="hybridMultilevel"/>
    <w:tmpl w:val="7BAC048A"/>
    <w:lvl w:ilvl="0" w:tplc="DC5E8EB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8300BAF"/>
    <w:multiLevelType w:val="hybridMultilevel"/>
    <w:tmpl w:val="B65A14CC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7D226144"/>
    <w:multiLevelType w:val="hybridMultilevel"/>
    <w:tmpl w:val="09FC7A22"/>
    <w:lvl w:ilvl="0" w:tplc="55DA21B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22"/>
  </w:num>
  <w:num w:numId="3">
    <w:abstractNumId w:val="29"/>
  </w:num>
  <w:num w:numId="4">
    <w:abstractNumId w:val="2"/>
  </w:num>
  <w:num w:numId="5">
    <w:abstractNumId w:val="12"/>
  </w:num>
  <w:num w:numId="6">
    <w:abstractNumId w:val="4"/>
  </w:num>
  <w:num w:numId="7">
    <w:abstractNumId w:val="0"/>
  </w:num>
  <w:num w:numId="8">
    <w:abstractNumId w:val="1"/>
  </w:num>
  <w:num w:numId="9">
    <w:abstractNumId w:val="14"/>
  </w:num>
  <w:num w:numId="10">
    <w:abstractNumId w:val="9"/>
  </w:num>
  <w:num w:numId="11">
    <w:abstractNumId w:val="6"/>
  </w:num>
  <w:num w:numId="12">
    <w:abstractNumId w:val="28"/>
  </w:num>
  <w:num w:numId="13">
    <w:abstractNumId w:val="33"/>
  </w:num>
  <w:num w:numId="14">
    <w:abstractNumId w:val="21"/>
  </w:num>
  <w:num w:numId="15">
    <w:abstractNumId w:val="20"/>
  </w:num>
  <w:num w:numId="16">
    <w:abstractNumId w:val="19"/>
  </w:num>
  <w:num w:numId="17">
    <w:abstractNumId w:val="30"/>
  </w:num>
  <w:num w:numId="18">
    <w:abstractNumId w:val="8"/>
  </w:num>
  <w:num w:numId="19">
    <w:abstractNumId w:val="16"/>
  </w:num>
  <w:num w:numId="20">
    <w:abstractNumId w:val="36"/>
  </w:num>
  <w:num w:numId="21">
    <w:abstractNumId w:val="5"/>
  </w:num>
  <w:num w:numId="22">
    <w:abstractNumId w:val="15"/>
  </w:num>
  <w:num w:numId="23">
    <w:abstractNumId w:val="3"/>
  </w:num>
  <w:num w:numId="24">
    <w:abstractNumId w:val="18"/>
  </w:num>
  <w:num w:numId="25">
    <w:abstractNumId w:val="26"/>
  </w:num>
  <w:num w:numId="26">
    <w:abstractNumId w:val="10"/>
  </w:num>
  <w:num w:numId="27">
    <w:abstractNumId w:val="27"/>
  </w:num>
  <w:num w:numId="28">
    <w:abstractNumId w:val="23"/>
  </w:num>
  <w:num w:numId="29">
    <w:abstractNumId w:val="17"/>
  </w:num>
  <w:num w:numId="30">
    <w:abstractNumId w:val="31"/>
  </w:num>
  <w:num w:numId="31">
    <w:abstractNumId w:val="37"/>
  </w:num>
  <w:num w:numId="32">
    <w:abstractNumId w:val="35"/>
  </w:num>
  <w:num w:numId="33">
    <w:abstractNumId w:val="34"/>
  </w:num>
  <w:num w:numId="34">
    <w:abstractNumId w:val="25"/>
  </w:num>
  <w:num w:numId="35">
    <w:abstractNumId w:val="7"/>
  </w:num>
  <w:num w:numId="36">
    <w:abstractNumId w:val="13"/>
  </w:num>
  <w:num w:numId="37">
    <w:abstractNumId w:val="32"/>
  </w:num>
  <w:num w:numId="38">
    <w:abstractNumId w:val="11"/>
  </w:num>
  <w:num w:numId="39">
    <w:abstractNumId w:val="2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ocumentProtection w:formatting="1" w:enforcement="0"/>
  <w:defaultTabStop w:val="851"/>
  <w:hyphenationZone w:val="425"/>
  <w:characterSpacingControl w:val="doNotCompress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/>
  <w:rsids>
    <w:rsidRoot w:val="00AD1D5E"/>
    <w:rsid w:val="000043C4"/>
    <w:rsid w:val="00044A33"/>
    <w:rsid w:val="00054296"/>
    <w:rsid w:val="00063534"/>
    <w:rsid w:val="000A247F"/>
    <w:rsid w:val="000B22E7"/>
    <w:rsid w:val="000E37C2"/>
    <w:rsid w:val="00130D80"/>
    <w:rsid w:val="00143B06"/>
    <w:rsid w:val="00162F73"/>
    <w:rsid w:val="00192C1B"/>
    <w:rsid w:val="001A5AF1"/>
    <w:rsid w:val="001C0663"/>
    <w:rsid w:val="001E4FB4"/>
    <w:rsid w:val="001E6FDA"/>
    <w:rsid w:val="001F094F"/>
    <w:rsid w:val="001F3364"/>
    <w:rsid w:val="00217BE3"/>
    <w:rsid w:val="00233C1A"/>
    <w:rsid w:val="002411FC"/>
    <w:rsid w:val="00250D97"/>
    <w:rsid w:val="002732C1"/>
    <w:rsid w:val="002925C2"/>
    <w:rsid w:val="002A015A"/>
    <w:rsid w:val="002A29CB"/>
    <w:rsid w:val="002D246D"/>
    <w:rsid w:val="002D3685"/>
    <w:rsid w:val="002D5136"/>
    <w:rsid w:val="002F4772"/>
    <w:rsid w:val="00312B5A"/>
    <w:rsid w:val="00320226"/>
    <w:rsid w:val="0032031C"/>
    <w:rsid w:val="00343669"/>
    <w:rsid w:val="003501AE"/>
    <w:rsid w:val="00357ABE"/>
    <w:rsid w:val="00371CA2"/>
    <w:rsid w:val="003C12F4"/>
    <w:rsid w:val="00402ED9"/>
    <w:rsid w:val="00405F69"/>
    <w:rsid w:val="00411241"/>
    <w:rsid w:val="004119CF"/>
    <w:rsid w:val="00414870"/>
    <w:rsid w:val="00415FCC"/>
    <w:rsid w:val="00424D89"/>
    <w:rsid w:val="004474B9"/>
    <w:rsid w:val="00471A5D"/>
    <w:rsid w:val="00484D42"/>
    <w:rsid w:val="00491451"/>
    <w:rsid w:val="004E19B7"/>
    <w:rsid w:val="004F3C8A"/>
    <w:rsid w:val="004F4127"/>
    <w:rsid w:val="0050139B"/>
    <w:rsid w:val="005402B0"/>
    <w:rsid w:val="00544E23"/>
    <w:rsid w:val="0055532A"/>
    <w:rsid w:val="005B77F0"/>
    <w:rsid w:val="005D6CCA"/>
    <w:rsid w:val="005E2D59"/>
    <w:rsid w:val="005F2358"/>
    <w:rsid w:val="006048A0"/>
    <w:rsid w:val="006464D9"/>
    <w:rsid w:val="00661B5B"/>
    <w:rsid w:val="00676B3F"/>
    <w:rsid w:val="0068178F"/>
    <w:rsid w:val="006A6DE7"/>
    <w:rsid w:val="006B3F3A"/>
    <w:rsid w:val="006D2104"/>
    <w:rsid w:val="006E159A"/>
    <w:rsid w:val="006E6D5D"/>
    <w:rsid w:val="006F0779"/>
    <w:rsid w:val="00707ADE"/>
    <w:rsid w:val="007221FC"/>
    <w:rsid w:val="00732FC9"/>
    <w:rsid w:val="00742C1E"/>
    <w:rsid w:val="0076395D"/>
    <w:rsid w:val="00770BC4"/>
    <w:rsid w:val="00780F8D"/>
    <w:rsid w:val="00787EA6"/>
    <w:rsid w:val="007931C5"/>
    <w:rsid w:val="007D5639"/>
    <w:rsid w:val="007E233F"/>
    <w:rsid w:val="0082707C"/>
    <w:rsid w:val="008610CA"/>
    <w:rsid w:val="008670E3"/>
    <w:rsid w:val="008D07D6"/>
    <w:rsid w:val="008D68B4"/>
    <w:rsid w:val="00900CC6"/>
    <w:rsid w:val="00942297"/>
    <w:rsid w:val="00955E74"/>
    <w:rsid w:val="00993FB6"/>
    <w:rsid w:val="009C18CC"/>
    <w:rsid w:val="009C44E7"/>
    <w:rsid w:val="009C6867"/>
    <w:rsid w:val="009D30AD"/>
    <w:rsid w:val="009E6DAD"/>
    <w:rsid w:val="00A06BAA"/>
    <w:rsid w:val="00A13919"/>
    <w:rsid w:val="00A244C3"/>
    <w:rsid w:val="00A53B59"/>
    <w:rsid w:val="00A91F33"/>
    <w:rsid w:val="00AD1D5E"/>
    <w:rsid w:val="00B42C39"/>
    <w:rsid w:val="00B4426B"/>
    <w:rsid w:val="00B446A9"/>
    <w:rsid w:val="00B66ADC"/>
    <w:rsid w:val="00B73319"/>
    <w:rsid w:val="00B80D4C"/>
    <w:rsid w:val="00BB43D4"/>
    <w:rsid w:val="00BC3D55"/>
    <w:rsid w:val="00BC4CE1"/>
    <w:rsid w:val="00BD4F6C"/>
    <w:rsid w:val="00C05442"/>
    <w:rsid w:val="00C07138"/>
    <w:rsid w:val="00C34DDB"/>
    <w:rsid w:val="00C511AC"/>
    <w:rsid w:val="00C534B1"/>
    <w:rsid w:val="00C74D6C"/>
    <w:rsid w:val="00CB5CC0"/>
    <w:rsid w:val="00CC4F00"/>
    <w:rsid w:val="00CD22CB"/>
    <w:rsid w:val="00CD3778"/>
    <w:rsid w:val="00CD5204"/>
    <w:rsid w:val="00CE5D25"/>
    <w:rsid w:val="00CF206F"/>
    <w:rsid w:val="00D1051B"/>
    <w:rsid w:val="00D428F8"/>
    <w:rsid w:val="00D65EE1"/>
    <w:rsid w:val="00D70414"/>
    <w:rsid w:val="00DB767A"/>
    <w:rsid w:val="00DC2B73"/>
    <w:rsid w:val="00E46416"/>
    <w:rsid w:val="00E5437C"/>
    <w:rsid w:val="00E645D4"/>
    <w:rsid w:val="00E745C4"/>
    <w:rsid w:val="00E85CB4"/>
    <w:rsid w:val="00EB3F90"/>
    <w:rsid w:val="00EB6B6B"/>
    <w:rsid w:val="00EC4542"/>
    <w:rsid w:val="00EE329B"/>
    <w:rsid w:val="00EE5510"/>
    <w:rsid w:val="00EF30CD"/>
    <w:rsid w:val="00EF52D5"/>
    <w:rsid w:val="00F054D5"/>
    <w:rsid w:val="00F068F9"/>
    <w:rsid w:val="00F07D84"/>
    <w:rsid w:val="00F63853"/>
    <w:rsid w:val="00F678FB"/>
    <w:rsid w:val="00F91BDD"/>
    <w:rsid w:val="00F97383"/>
    <w:rsid w:val="00FA730C"/>
    <w:rsid w:val="00FD4B1C"/>
    <w:rsid w:val="00FF1645"/>
    <w:rsid w:val="00FF62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9738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446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446A9"/>
  </w:style>
  <w:style w:type="paragraph" w:styleId="Stopka">
    <w:name w:val="footer"/>
    <w:basedOn w:val="Normalny"/>
    <w:link w:val="StopkaZnak"/>
    <w:uiPriority w:val="99"/>
    <w:unhideWhenUsed/>
    <w:rsid w:val="00B446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446A9"/>
  </w:style>
  <w:style w:type="character" w:styleId="Hipercze">
    <w:name w:val="Hyperlink"/>
    <w:unhideWhenUsed/>
    <w:rsid w:val="00E745C4"/>
    <w:rPr>
      <w:color w:val="0000FF"/>
      <w:u w:val="single"/>
    </w:rPr>
  </w:style>
  <w:style w:type="paragraph" w:styleId="Akapitzlist">
    <w:name w:val="List Paragraph"/>
    <w:aliases w:val="List Paragraph,Numerowanie,Akapit z listą BS,Kolorowa lista — akcent 11,Asia 2  Akapit z listą,tekst normalny,Obiekt,List Paragraph1,Wypunktowanie,wypunktowanie,Liste à puces retrait droite,ps_akapit_z_lista,sw tekst,Adresat stanowisko"/>
    <w:basedOn w:val="Normalny"/>
    <w:link w:val="AkapitzlistZnak"/>
    <w:uiPriority w:val="34"/>
    <w:qFormat/>
    <w:rsid w:val="005E2D59"/>
    <w:pPr>
      <w:spacing w:after="0" w:line="240" w:lineRule="auto"/>
      <w:ind w:left="720"/>
    </w:pPr>
    <w:rPr>
      <w:rFonts w:ascii="Calibri" w:hAnsi="Calibri" w:cs="Calibri"/>
    </w:rPr>
  </w:style>
  <w:style w:type="paragraph" w:customStyle="1" w:styleId="Default">
    <w:name w:val="Default"/>
    <w:rsid w:val="0049145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NormalnyWeb">
    <w:name w:val="Normal (Web)"/>
    <w:basedOn w:val="Normalny"/>
    <w:rsid w:val="008670E3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List Paragraph Znak,Numerowanie Znak,Akapit z listą BS Znak,Kolorowa lista — akcent 11 Znak,Asia 2  Akapit z listą Znak,tekst normalny Znak,Obiekt Znak,List Paragraph1 Znak,Wypunktowanie Znak,wypunktowanie Znak,ps_akapit_z_lista Znak"/>
    <w:link w:val="Akapitzlist"/>
    <w:uiPriority w:val="34"/>
    <w:qFormat/>
    <w:locked/>
    <w:rsid w:val="008670E3"/>
    <w:rPr>
      <w:rFonts w:ascii="Calibri" w:hAnsi="Calibri" w:cs="Calibri"/>
    </w:rPr>
  </w:style>
  <w:style w:type="paragraph" w:customStyle="1" w:styleId="Akapitzlist1">
    <w:name w:val="Akapit z listą1"/>
    <w:aliases w:val="normalny tekst,CW_Lista"/>
    <w:basedOn w:val="Normalny"/>
    <w:rsid w:val="006E6D5D"/>
    <w:pPr>
      <w:suppressAutoHyphens/>
      <w:autoSpaceDN w:val="0"/>
      <w:spacing w:line="249" w:lineRule="auto"/>
      <w:ind w:left="720"/>
      <w:textAlignment w:val="baseline"/>
    </w:pPr>
    <w:rPr>
      <w:rFonts w:ascii="Calibri" w:eastAsia="SimSun" w:hAnsi="Calibri" w:cs="font367"/>
      <w:color w:val="00000A"/>
      <w:sz w:val="24"/>
      <w:lang w:eastAsia="ar-SA"/>
    </w:rPr>
  </w:style>
  <w:style w:type="paragraph" w:customStyle="1" w:styleId="Standard">
    <w:name w:val="Standard"/>
    <w:rsid w:val="00D428F8"/>
    <w:pPr>
      <w:suppressAutoHyphens/>
      <w:autoSpaceDN w:val="0"/>
      <w:spacing w:after="200" w:line="276" w:lineRule="auto"/>
      <w:textAlignment w:val="baseline"/>
    </w:pPr>
    <w:rPr>
      <w:rFonts w:ascii="Calibri" w:eastAsia="Times New Roman" w:hAnsi="Calibri" w:cs="Times New Roman"/>
      <w:kern w:val="3"/>
      <w:lang w:eastAsia="zh-CN"/>
    </w:rPr>
  </w:style>
  <w:style w:type="paragraph" w:customStyle="1" w:styleId="Textbody">
    <w:name w:val="Text body"/>
    <w:basedOn w:val="Standard"/>
    <w:rsid w:val="00D428F8"/>
    <w:pPr>
      <w:spacing w:after="0" w:line="240" w:lineRule="auto"/>
    </w:pPr>
    <w:rPr>
      <w:rFonts w:ascii="Arial" w:eastAsia="Arial" w:hAnsi="Arial" w:cs="Arial"/>
      <w:sz w:val="20"/>
      <w:szCs w:val="20"/>
    </w:rPr>
  </w:style>
  <w:style w:type="paragraph" w:styleId="Zwykytekst">
    <w:name w:val="Plain Text"/>
    <w:basedOn w:val="Standard"/>
    <w:link w:val="ZwykytekstZnak"/>
    <w:rsid w:val="00D428F8"/>
    <w:pPr>
      <w:spacing w:after="0" w:line="240" w:lineRule="auto"/>
    </w:pPr>
    <w:rPr>
      <w:rFonts w:ascii="Courier New" w:eastAsia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D428F8"/>
    <w:rPr>
      <w:rFonts w:ascii="Courier New" w:eastAsia="Courier New" w:hAnsi="Courier New" w:cs="Courier New"/>
      <w:kern w:val="3"/>
      <w:sz w:val="20"/>
      <w:szCs w:val="20"/>
      <w:lang w:eastAsia="zh-CN"/>
    </w:rPr>
  </w:style>
  <w:style w:type="paragraph" w:customStyle="1" w:styleId="normaltableau">
    <w:name w:val="normal_tableau"/>
    <w:basedOn w:val="Standard"/>
    <w:rsid w:val="00DC2B73"/>
    <w:pPr>
      <w:spacing w:before="120" w:after="120" w:line="240" w:lineRule="auto"/>
      <w:jc w:val="both"/>
    </w:pPr>
    <w:rPr>
      <w:rFonts w:ascii="Optima, 'Times New Roman'" w:eastAsia="Optima, 'Times New Roman'" w:hAnsi="Optima, 'Times New Roman'" w:cs="Optima, 'Times New Roman'"/>
      <w:lang w:val="en-GB"/>
    </w:rPr>
  </w:style>
  <w:style w:type="paragraph" w:customStyle="1" w:styleId="TableContents">
    <w:name w:val="Table Contents"/>
    <w:basedOn w:val="Standard"/>
    <w:rsid w:val="00DC2B73"/>
    <w:pPr>
      <w:suppressLineNumbers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EE55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E551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020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2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562149-6BC4-45A5-8F8F-AFEA9BF3E8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681</Words>
  <Characters>4088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4760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Węglińska</dc:creator>
  <cp:lastModifiedBy>Piotrek Kohut</cp:lastModifiedBy>
  <cp:revision>6</cp:revision>
  <cp:lastPrinted>2024-10-15T12:43:00Z</cp:lastPrinted>
  <dcterms:created xsi:type="dcterms:W3CDTF">2024-10-14T13:32:00Z</dcterms:created>
  <dcterms:modified xsi:type="dcterms:W3CDTF">2024-11-15T10:34:00Z</dcterms:modified>
</cp:coreProperties>
</file>