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088BAC2" w14:textId="77777777" w:rsidR="0037065F" w:rsidRDefault="00000000">
      <w:pPr>
        <w:widowControl w:val="0"/>
        <w:jc w:val="righ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Kalisz 08.10.2023 r.</w:t>
      </w:r>
    </w:p>
    <w:p w14:paraId="0871793A" w14:textId="77777777" w:rsidR="0037065F" w:rsidRDefault="0037065F">
      <w:pPr>
        <w:widowControl w:val="0"/>
        <w:jc w:val="right"/>
        <w:rPr>
          <w:rFonts w:ascii="Calibri" w:eastAsia="Calibri" w:hAnsi="Calibri" w:cs="Calibri"/>
          <w:sz w:val="22"/>
          <w:szCs w:val="22"/>
        </w:rPr>
      </w:pPr>
    </w:p>
    <w:p w14:paraId="04445AE6" w14:textId="77777777" w:rsidR="0037065F" w:rsidRDefault="0037065F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4D5FDF34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POSTĘPOWANIE O UDZIELENIE ZAMÓWIENIA PUBLICZNEGO</w:t>
      </w:r>
    </w:p>
    <w:p w14:paraId="7202A9D3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ZAPYTANIE OFERTOWE NR 1/2024</w:t>
      </w:r>
    </w:p>
    <w:p w14:paraId="6B39FEFB" w14:textId="77777777" w:rsidR="0037065F" w:rsidRDefault="0037065F">
      <w:pPr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2AF7E2CA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Pratt &amp; Whitney Kalisz Sp. z o.o.</w:t>
      </w:r>
    </w:p>
    <w:p w14:paraId="02C41FC0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 siedzibą w Kaliszu (kod: 62-800), ul. Elektryczna 4a</w:t>
      </w:r>
    </w:p>
    <w:p w14:paraId="3902BD5A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 związku z planowaną realizacją projektu pt. </w:t>
      </w:r>
    </w:p>
    <w:p w14:paraId="3926ECCE" w14:textId="77777777" w:rsidR="0037065F" w:rsidRDefault="0037065F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</w:p>
    <w:p w14:paraId="255773C7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„</w:t>
      </w:r>
      <w:r>
        <w:rPr>
          <w:rFonts w:ascii="Calibri" w:eastAsia="Calibri" w:hAnsi="Calibri" w:cs="Calibri"/>
          <w:b/>
          <w:color w:val="222222"/>
          <w:sz w:val="22"/>
          <w:szCs w:val="22"/>
          <w:highlight w:val="white"/>
        </w:rPr>
        <w:t>Innowacyjna technologia produkcji części do ekologicznego silnika lotniczego nowej generacji</w:t>
      </w:r>
      <w:r>
        <w:rPr>
          <w:rFonts w:ascii="Arial" w:eastAsia="Arial" w:hAnsi="Arial" w:cs="Arial"/>
          <w:b/>
          <w:color w:val="000000"/>
          <w:sz w:val="20"/>
          <w:szCs w:val="20"/>
        </w:rPr>
        <w:t>"</w:t>
      </w:r>
    </w:p>
    <w:p w14:paraId="27016413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7B68EB04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ramach</w:t>
      </w:r>
    </w:p>
    <w:p w14:paraId="030CE88D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Funduszy Europejskich dla Nowoczesnej Gospodarki </w:t>
      </w:r>
    </w:p>
    <w:p w14:paraId="21421283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Priorytet 1 „Wsparcie dla przedsiębiorców”</w:t>
      </w:r>
    </w:p>
    <w:p w14:paraId="7ECCE249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kontekście naboru FENG.01.01-IP.01-001/24</w:t>
      </w:r>
    </w:p>
    <w:p w14:paraId="1512124B" w14:textId="77777777" w:rsidR="0037065F" w:rsidRDefault="0037065F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</w:p>
    <w:p w14:paraId="71547FD0" w14:textId="77777777" w:rsidR="0037065F" w:rsidRDefault="0037065F">
      <w:pPr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51B85415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zaprasza do składania ofert na usługę</w:t>
      </w:r>
    </w:p>
    <w:p w14:paraId="277E9DD8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bookmarkStart w:id="0" w:name="_heading=h.tyjcwt" w:colFirst="0" w:colLast="0"/>
      <w:bookmarkEnd w:id="0"/>
      <w:r>
        <w:rPr>
          <w:rFonts w:ascii="Calibri" w:eastAsia="Calibri" w:hAnsi="Calibri" w:cs="Calibri"/>
          <w:b/>
          <w:sz w:val="22"/>
          <w:szCs w:val="22"/>
        </w:rPr>
        <w:t>wykonania prac badawczych w zakresie laboratoryjnych badań chemicznych i materiałowych w projekcie B+R.</w:t>
      </w:r>
    </w:p>
    <w:p w14:paraId="3F7A36BE" w14:textId="77777777" w:rsidR="0037065F" w:rsidRDefault="0037065F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4E92F79B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firstLine="720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Kody CPV</w:t>
      </w:r>
    </w:p>
    <w:p w14:paraId="7731D451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firstLine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73000000-2 Usługi badawcze i eksperymentalno-rozwojowe oraz pokrewne usługi doradcze</w:t>
      </w:r>
    </w:p>
    <w:p w14:paraId="4DAB0D8D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73100000-3 Usługi badawcze i eksperymentalno-rozwojowe</w:t>
      </w:r>
    </w:p>
    <w:p w14:paraId="3633CA3E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73110000-6 Usługi badawcze</w:t>
      </w:r>
    </w:p>
    <w:p w14:paraId="7BE2753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73111000-3- Laboratoryjne usługi badawcze</w:t>
      </w:r>
    </w:p>
    <w:p w14:paraId="39B72D13" w14:textId="77777777" w:rsidR="0037065F" w:rsidRDefault="0037065F">
      <w:pPr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4348FC02" w14:textId="77777777" w:rsidR="0037065F" w:rsidRDefault="00000000">
      <w:pPr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Zamawiający:</w:t>
      </w:r>
    </w:p>
    <w:p w14:paraId="61F8A4DA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Pratt &amp; Whitney Kalisz Sp. z o.o.</w:t>
      </w:r>
    </w:p>
    <w:p w14:paraId="1AD92E04" w14:textId="77777777" w:rsidR="0037065F" w:rsidRDefault="00000000">
      <w:pPr>
        <w:spacing w:line="276" w:lineRule="auto"/>
        <w:ind w:left="360" w:firstLine="72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ul. Elektryczna 4a</w:t>
      </w:r>
    </w:p>
    <w:p w14:paraId="18C71BBC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62-800 Kalisz</w:t>
      </w:r>
    </w:p>
    <w:p w14:paraId="297FAB54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ind w:left="360" w:firstLine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NIP: 6181883525</w:t>
      </w:r>
    </w:p>
    <w:p w14:paraId="21DC798D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ind w:left="360" w:firstLine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REGON: 250951196</w:t>
      </w:r>
    </w:p>
    <w:p w14:paraId="222FED5E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ind w:left="360" w:firstLine="72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KRS: 0000009775</w:t>
      </w:r>
    </w:p>
    <w:p w14:paraId="23B1EC24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</w:p>
    <w:p w14:paraId="7BBCF55E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Tryb udzielenia zamówienia</w:t>
      </w:r>
    </w:p>
    <w:p w14:paraId="1B1E249E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Zgodnie z zasadą konkurencyjności opisaną w punkcie 3.2 Wytycznych w zakresie kwalifikowalności wydatków w ramach Europejskiego Funduszu Rozwoju Regionalnego, Europejskiego Funduszu Społecznego oraz Funduszu Spójności na lata 2021-2027. </w:t>
      </w:r>
    </w:p>
    <w:p w14:paraId="6E6F7279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44878B2F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Zamawiający wszczyna postępowanie w trybie zapytania ofertowego z chwilą publikacji ogłoszenia w Bazie Konkurencyjności. </w:t>
      </w:r>
    </w:p>
    <w:p w14:paraId="1EF37466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CC53D39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W postępowaniu nie mają zastosowania przepisy ustawy z dnia 29 stycznia 2004 roku – Prawo zamówień publicznych (j.t. Dz.U. z 2015 r., poz. 2164).</w:t>
      </w:r>
    </w:p>
    <w:p w14:paraId="35CAC18C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E6FEBDB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Opis przedmiotu zamówienia</w:t>
      </w:r>
    </w:p>
    <w:p w14:paraId="66B7FBC9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Celem zamówienia jest wybór Wykonawcy tj. podmiotu świadczącego usługę wykonania prac badawczych w zakresie laboratoryjnych badań chemicznych i materiałowych w projekcie B+R.</w:t>
      </w:r>
    </w:p>
    <w:p w14:paraId="3B4335F2" w14:textId="77777777" w:rsidR="0037065F" w:rsidRDefault="0037065F">
      <w:pPr>
        <w:spacing w:line="276" w:lineRule="auto"/>
        <w:ind w:left="1080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1C795C48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Zamawiający, ubiega się o dofinansowanie Projektu pn. </w:t>
      </w:r>
      <w:r>
        <w:rPr>
          <w:rFonts w:ascii="Arial" w:eastAsia="Arial" w:hAnsi="Arial" w:cs="Arial"/>
          <w:color w:val="000000"/>
          <w:sz w:val="20"/>
          <w:szCs w:val="20"/>
        </w:rPr>
        <w:t>„</w:t>
      </w:r>
      <w:r>
        <w:rPr>
          <w:rFonts w:ascii="Calibri" w:eastAsia="Calibri" w:hAnsi="Calibri" w:cs="Calibri"/>
          <w:color w:val="222222"/>
          <w:sz w:val="22"/>
          <w:szCs w:val="22"/>
          <w:highlight w:val="white"/>
        </w:rPr>
        <w:t>Innowacyjna technologia produkcji części do ekologicznego silnika lotniczego nowej generacji</w:t>
      </w:r>
      <w:r>
        <w:rPr>
          <w:rFonts w:ascii="Calibri" w:eastAsia="Calibri" w:hAnsi="Calibri" w:cs="Calibri"/>
          <w:color w:val="000000"/>
          <w:sz w:val="22"/>
          <w:szCs w:val="22"/>
        </w:rPr>
        <w:t>", w Ścieżce SMART z Funduszy Europejskich dla Nowoczesnej Gospodarki; Priorytet 1 „Wsparcie dla przedsiębiorców”, nabór FENG.01.01-IP.01-00</w:t>
      </w:r>
      <w:r>
        <w:rPr>
          <w:rFonts w:ascii="Calibri" w:eastAsia="Calibri" w:hAnsi="Calibri" w:cs="Calibri"/>
          <w:sz w:val="22"/>
          <w:szCs w:val="22"/>
        </w:rPr>
        <w:t>1</w:t>
      </w:r>
      <w:r>
        <w:rPr>
          <w:rFonts w:ascii="Calibri" w:eastAsia="Calibri" w:hAnsi="Calibri" w:cs="Calibri"/>
          <w:color w:val="000000"/>
          <w:sz w:val="22"/>
          <w:szCs w:val="22"/>
        </w:rPr>
        <w:t>/2</w:t>
      </w:r>
      <w:r>
        <w:rPr>
          <w:rFonts w:ascii="Calibri" w:eastAsia="Calibri" w:hAnsi="Calibri" w:cs="Calibri"/>
          <w:sz w:val="22"/>
          <w:szCs w:val="22"/>
        </w:rPr>
        <w:t>4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. </w:t>
      </w:r>
    </w:p>
    <w:p w14:paraId="76D6080D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BFFC905" w14:textId="77777777" w:rsidR="0037065F" w:rsidRDefault="00000000">
      <w:pPr>
        <w:spacing w:line="276" w:lineRule="auto"/>
        <w:ind w:left="720"/>
        <w:jc w:val="both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Zakres usług/obowiązków:</w:t>
      </w:r>
    </w:p>
    <w:p w14:paraId="6ECF86AD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1. Obserwacje złącza lutowanego aparatu kierującego dwurzędowego na mikroskopie SEM.</w:t>
      </w:r>
    </w:p>
    <w:p w14:paraId="2A6E8E17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Zakładane jest 30 punktów – złącz, wypływek do obserwacji na mikroskopie skaningowym</w:t>
      </w:r>
    </w:p>
    <w:p w14:paraId="6E4DC9EA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elektronowym.</w:t>
      </w:r>
    </w:p>
    <w:p w14:paraId="394813BD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2. Badania porównawcze odporności korozyjnej w obojętnej komorze solnej (NSS) w oparciu o</w:t>
      </w:r>
    </w:p>
    <w:p w14:paraId="1D2A0BB6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normę ASTM B117 dla 3 różnych surowych materiałów wykonanych ze stopów aluminium i</w:t>
      </w:r>
    </w:p>
    <w:p w14:paraId="710FF49E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magnezu (2 próbki ze stopu magnezu i jedna próbka ze stopu aluminium). Zakładany cykl badań</w:t>
      </w:r>
    </w:p>
    <w:p w14:paraId="0C2857C0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NSS wynosi 1 tydzień ekspozycji (168 h).</w:t>
      </w:r>
    </w:p>
    <w:p w14:paraId="02BB0817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3. Badania w komorze cyklicznej z uwzględnieniem zmiennych warunków dla próbek ze stopów</w:t>
      </w:r>
    </w:p>
    <w:p w14:paraId="5C321BB1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magnezu z dodatkiem ziem rzadkich - dla części po obróbce mechanicznej wykonanych ze</w:t>
      </w:r>
    </w:p>
    <w:p w14:paraId="095D3E22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stopów magnezu (AMS 4429 i AMS 4439) oraz stopu aluminium (z serii 4xxx lub 2xxx).</w:t>
      </w:r>
    </w:p>
    <w:p w14:paraId="592546E3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badaniach należy uwzględnić zmienne warunki przechowywania części (zmienne wartości</w:t>
      </w:r>
    </w:p>
    <w:p w14:paraId="061D5693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temperatury oraz wilgotności podczas transportu na kooperację).</w:t>
      </w:r>
    </w:p>
    <w:p w14:paraId="2E8EEC4B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Celem badań jest wskazanie, z jakim typem korozji lub utlenienia mamy do czynienia, jaki jest</w:t>
      </w:r>
    </w:p>
    <w:p w14:paraId="3C0BB723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mechanizm korozji lub przyczyny powstawania zoksydowanych powierzchni. Usługodawca musi</w:t>
      </w:r>
    </w:p>
    <w:p w14:paraId="287D94E8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zaproponować testy służące wywołaniu korozji tego typu materiałów, a następnie sprawdzić ich</w:t>
      </w:r>
    </w:p>
    <w:p w14:paraId="74C63DED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zachowanie w zaproponowanych przez siebie testach korozyjnych. Ponadto kontrolować</w:t>
      </w:r>
    </w:p>
    <w:p w14:paraId="7442AF65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określonych odstępach czasu postęp tej korozji. Badania powinny obejmować również</w:t>
      </w:r>
    </w:p>
    <w:p w14:paraId="3D4FB119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ilościową ocenę powierzchni „zainfekowanych” oraz ich skład chemiczny w połączeniu</w:t>
      </w:r>
    </w:p>
    <w:p w14:paraId="3549EC37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 metalografią przy każdej kontroli. Czas testów korozyjnych powinien być dobrany</w:t>
      </w:r>
    </w:p>
    <w:p w14:paraId="6FF7D58A" w14:textId="77777777" w:rsidR="0037065F" w:rsidRDefault="00000000">
      <w:pPr>
        <w:spacing w:line="276" w:lineRule="auto"/>
        <w:ind w:left="720" w:firstLine="41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indywidualnie w zależności od analizowanego przypadku i rodzaju testu, z uwzględnieniem</w:t>
      </w:r>
    </w:p>
    <w:p w14:paraId="11C80DFD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rzeczywistych warunków środowiskowych dla wybranych do analizy stopów</w:t>
      </w:r>
    </w:p>
    <w:p w14:paraId="42CD6A51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 założeniem odpowiedniej klasy korozyjności.</w:t>
      </w:r>
    </w:p>
    <w:p w14:paraId="5D74833C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4. Obserwacje morfologii powierzchni na mikroskopie SEM i badania składu chemicznego EDX dla 10 próbek ze stopów magnezu (AMS 4429 i/lub AMS 4439), minimum 3 obszary na każdą</w:t>
      </w:r>
    </w:p>
    <w:p w14:paraId="59DB7E85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próbkę. Koszt usługi musi obejmować zarówno preparatykę próbek, tj. cięcie i szlifowanie, jak</w:t>
      </w:r>
    </w:p>
    <w:p w14:paraId="54919978" w14:textId="77777777" w:rsidR="0037065F" w:rsidRDefault="00000000">
      <w:pPr>
        <w:spacing w:line="276" w:lineRule="auto"/>
        <w:ind w:left="113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również obserwacje struktury powierzchni stopu metodą SEM oraz badania składu chemicznego metodą EDX (EDAX).</w:t>
      </w:r>
    </w:p>
    <w:p w14:paraId="70B972AC" w14:textId="77777777" w:rsidR="0037065F" w:rsidRDefault="0037065F">
      <w:pPr>
        <w:spacing w:line="276" w:lineRule="auto"/>
        <w:ind w:left="720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157127C6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Termin realizacji zamówienia</w:t>
      </w:r>
    </w:p>
    <w:p w14:paraId="310F9100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133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Realizacja laboratoryjnych badań chemicznych przewidziana jest w okresie 01.07.2025-31.12.2026r.</w:t>
      </w:r>
    </w:p>
    <w:p w14:paraId="3D3A7E13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80366EA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Warunki udziału w postępowaniu oraz opis sposobu dokonywania oceny spełniania tych warunków</w:t>
      </w:r>
    </w:p>
    <w:p w14:paraId="058FC17B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</w:p>
    <w:p w14:paraId="76FE2E1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 udzielenie zamówienia mogą ubiegać się Wykonawcy, którzy:</w:t>
      </w:r>
    </w:p>
    <w:p w14:paraId="103A770E" w14:textId="77777777" w:rsidR="0037065F" w:rsidRDefault="00000000">
      <w:pPr>
        <w:numPr>
          <w:ilvl w:val="0"/>
          <w:numId w:val="7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posiadają odpowiednią wiedzę i doświadczenie do realizacji zamówienia,</w:t>
      </w:r>
    </w:p>
    <w:p w14:paraId="2DF61A25" w14:textId="77777777" w:rsidR="0037065F" w:rsidRDefault="00000000">
      <w:pPr>
        <w:numPr>
          <w:ilvl w:val="0"/>
          <w:numId w:val="7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dysponują odpowiednim potencjałem technicznym oraz osobami zdolnymi do wykonania zamówienia. </w:t>
      </w:r>
    </w:p>
    <w:p w14:paraId="5555D0E9" w14:textId="77777777" w:rsidR="0037065F" w:rsidRDefault="00000000">
      <w:pPr>
        <w:spacing w:line="276" w:lineRule="auto"/>
        <w:ind w:left="1134" w:firstLine="24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celu spełnienia warunków, o których mowa w pkt. 1 i 2 Wykonawca musi posiadać:</w:t>
      </w:r>
    </w:p>
    <w:p w14:paraId="583C61D2" w14:textId="77777777" w:rsidR="0037065F" w:rsidRDefault="00000000">
      <w:pPr>
        <w:numPr>
          <w:ilvl w:val="0"/>
          <w:numId w:val="10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referencje w postaci realizacji analogicznych min. jednokrotnie badań z każdego punktu dla przedsiębiorstw z branży lotniczej i/lub motoryzacyjnej.</w:t>
      </w:r>
    </w:p>
    <w:p w14:paraId="1F8193B3" w14:textId="77777777" w:rsidR="0037065F" w:rsidRDefault="00000000">
      <w:pPr>
        <w:numPr>
          <w:ilvl w:val="0"/>
          <w:numId w:val="10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znajomość zagadnień z zakresu korozyjności i podatności na utlenianie stopów magnezu, udokumentowaną opublikowanymi wynikami badań (artykuł naukowy) lub innym równorzędnym dowodem na realizację takich prac B+R (np. opublikowany online raport z badań własnych).</w:t>
      </w:r>
    </w:p>
    <w:p w14:paraId="490C0EC5" w14:textId="77777777" w:rsidR="0037065F" w:rsidRDefault="0037065F">
      <w:pPr>
        <w:spacing w:line="276" w:lineRule="auto"/>
        <w:ind w:left="1440"/>
        <w:jc w:val="both"/>
        <w:rPr>
          <w:rFonts w:ascii="Calibri" w:eastAsia="Calibri" w:hAnsi="Calibri" w:cs="Calibri"/>
          <w:sz w:val="22"/>
          <w:szCs w:val="22"/>
        </w:rPr>
      </w:pPr>
    </w:p>
    <w:p w14:paraId="6E9F861D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8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 udziału w postępowaniu wykluczone są podmioty powiązane osobowo i kapitałowo z zamawiającym. Przez powiązania kapitałowe lub osobowe rozumie się wzajemne powiązania między zamawiającym lub osobami upoważnionymi do zaciągania zobowiązań w mieniu zamawiającego lub osobami wykonującymi w imieniu zamawiającego czynności związane z przygotowaniem i przeprowadzaniem procedury wyboru wykonawcy, a wykonawcą, polegające w szczególności na:</w:t>
      </w:r>
    </w:p>
    <w:p w14:paraId="78E8EB9C" w14:textId="77777777" w:rsidR="0037065F" w:rsidRDefault="00000000">
      <w:pPr>
        <w:numPr>
          <w:ilvl w:val="0"/>
          <w:numId w:val="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2127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uczestniczeniu w spółce jako wspólnik spółki cywilnej lub spółki osobowej,</w:t>
      </w:r>
    </w:p>
    <w:p w14:paraId="1AA3C13A" w14:textId="77777777" w:rsidR="0037065F" w:rsidRDefault="00000000">
      <w:pPr>
        <w:numPr>
          <w:ilvl w:val="0"/>
          <w:numId w:val="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2127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posiadaniu udziałów lub co najmniej 10% akcji,</w:t>
      </w:r>
    </w:p>
    <w:p w14:paraId="173883CC" w14:textId="77777777" w:rsidR="0037065F" w:rsidRDefault="00000000">
      <w:pPr>
        <w:numPr>
          <w:ilvl w:val="0"/>
          <w:numId w:val="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2127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pełnieniu funkcji członka organu nadzorczego lub zarządzającego, prokurenta, pełnomocnika,</w:t>
      </w:r>
    </w:p>
    <w:p w14:paraId="6E24E5A6" w14:textId="77777777" w:rsidR="0037065F" w:rsidRDefault="00000000">
      <w:pPr>
        <w:numPr>
          <w:ilvl w:val="0"/>
          <w:numId w:val="9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76" w:lineRule="auto"/>
        <w:ind w:left="2127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188B0885" w14:textId="77777777" w:rsidR="0037065F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698" w:firstLine="72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 udziału w postępowaniu wyklucza się dodatkowo: </w:t>
      </w:r>
    </w:p>
    <w:p w14:paraId="28D2897F" w14:textId="77777777" w:rsidR="0037065F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1418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a) obywateli rosyjskich lub osoby fizyczne lub prawne, podmioty lub organy z siedzibą w Rosji; </w:t>
      </w:r>
    </w:p>
    <w:p w14:paraId="2FF182F0" w14:textId="77777777" w:rsidR="0037065F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1418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b) osoby prawne, podmioty lub organy, do których prawa własności bezpośrednio lub pośrednio w ponad 50 % należą do podmiotu, o którym mowa w lit. a) niniejszego ustępu; lub </w:t>
      </w:r>
    </w:p>
    <w:p w14:paraId="5F38F4B2" w14:textId="77777777" w:rsidR="0037065F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1418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c) osoby fizyczne lub prawne, podmioty lub organy działające w imieniu lub pod kierunkiem podmiotu, o którym mowa w lit. a) lub b) niniejszego ustępu, w tym podwykonawców, dostawców lub podmiotów, na których zdolności polega się w rozumieniu dyrektyw w sprawie zamówień publicznych, w przypadku gdy przypada na nich ponad 10 % wartości zamówienia.</w:t>
      </w:r>
    </w:p>
    <w:p w14:paraId="271043C1" w14:textId="77777777" w:rsidR="0037065F" w:rsidRDefault="0037065F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</w:p>
    <w:p w14:paraId="36041CF4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lastRenderedPageBreak/>
        <w:t>Ocena spełnienia warunków udziału w postępowaniu zostanie dokonana na podstawie informacji zawartych w formularzu oferty oraz na podstawie oświadczeń, których wzory stanowią odpowiednio Załącznik nr 1 i 2 do niniejszego Zapytania.</w:t>
      </w:r>
    </w:p>
    <w:p w14:paraId="56D78E50" w14:textId="77777777" w:rsidR="0037065F" w:rsidRDefault="0037065F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67B6C74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Zamawiający zastrzega sobie prawo weryfikacji spełnienia przez Wykonawcę warunków udziału w postępowaniu przed podpisaniem umowy na wykonanie zamówienia np. poprzez wezwanie do przekazania dodatkowych dokumentów potwierdzających doświadczenie osoby, która będzie realizować usługi.</w:t>
      </w:r>
    </w:p>
    <w:p w14:paraId="67FC6C5D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Niespełnienie powyższych warunków udziału w postępowaniu skutkować będzie wykluczeniem z postępowania, a co za tym idzie odrzuceniem oferty. </w:t>
      </w:r>
    </w:p>
    <w:p w14:paraId="59D61DE6" w14:textId="77777777" w:rsidR="0037065F" w:rsidRDefault="0037065F">
      <w:pPr>
        <w:spacing w:line="276" w:lineRule="auto"/>
        <w:ind w:left="1080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0645F2E6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240"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Kryteria oceny i wyboru ofert</w:t>
      </w:r>
    </w:p>
    <w:p w14:paraId="44841C1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Wybór najkorzystniejszej oferty nastąpi w oparciu o następujące kryterium:</w:t>
      </w:r>
    </w:p>
    <w:tbl>
      <w:tblPr>
        <w:tblStyle w:val="a1"/>
        <w:tblW w:w="839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61"/>
        <w:gridCol w:w="4187"/>
        <w:gridCol w:w="3543"/>
      </w:tblGrid>
      <w:tr w:rsidR="0037065F" w14:paraId="08AEC711" w14:textId="77777777">
        <w:trPr>
          <w:trHeight w:val="402"/>
          <w:jc w:val="center"/>
        </w:trPr>
        <w:tc>
          <w:tcPr>
            <w:tcW w:w="661" w:type="dxa"/>
            <w:shd w:val="clear" w:color="auto" w:fill="auto"/>
          </w:tcPr>
          <w:p w14:paraId="1B35D96D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Lp.</w:t>
            </w:r>
          </w:p>
        </w:tc>
        <w:tc>
          <w:tcPr>
            <w:tcW w:w="4187" w:type="dxa"/>
            <w:shd w:val="clear" w:color="auto" w:fill="auto"/>
          </w:tcPr>
          <w:p w14:paraId="7BE2D9E0" w14:textId="77777777" w:rsidR="0037065F" w:rsidRDefault="00000000">
            <w:pPr>
              <w:spacing w:line="360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Nazwa</w:t>
            </w:r>
          </w:p>
        </w:tc>
        <w:tc>
          <w:tcPr>
            <w:tcW w:w="3543" w:type="dxa"/>
            <w:shd w:val="clear" w:color="auto" w:fill="auto"/>
          </w:tcPr>
          <w:p w14:paraId="48CD57D1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Waga kryterium – ilość punktów</w:t>
            </w:r>
          </w:p>
        </w:tc>
      </w:tr>
      <w:tr w:rsidR="0037065F" w14:paraId="3E00CE31" w14:textId="77777777">
        <w:trPr>
          <w:trHeight w:val="402"/>
          <w:jc w:val="center"/>
        </w:trPr>
        <w:tc>
          <w:tcPr>
            <w:tcW w:w="661" w:type="dxa"/>
            <w:shd w:val="clear" w:color="auto" w:fill="auto"/>
          </w:tcPr>
          <w:p w14:paraId="34179E5C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1.</w:t>
            </w:r>
          </w:p>
        </w:tc>
        <w:tc>
          <w:tcPr>
            <w:tcW w:w="4187" w:type="dxa"/>
            <w:shd w:val="clear" w:color="auto" w:fill="auto"/>
          </w:tcPr>
          <w:p w14:paraId="0922F855" w14:textId="77777777" w:rsidR="0037065F" w:rsidRDefault="00000000">
            <w:pPr>
              <w:spacing w:line="360" w:lineRule="auto"/>
              <w:rPr>
                <w:rFonts w:ascii="Calibri" w:eastAsia="Calibri" w:hAnsi="Calibri" w:cs="Calibri"/>
                <w:sz w:val="22"/>
                <w:szCs w:val="22"/>
              </w:rPr>
            </w:pPr>
            <w:bookmarkStart w:id="1" w:name="_heading=h.2et92p0" w:colFirst="0" w:colLast="0"/>
            <w:bookmarkEnd w:id="1"/>
            <w:r>
              <w:rPr>
                <w:rFonts w:ascii="Calibri" w:eastAsia="Calibri" w:hAnsi="Calibri" w:cs="Calibri"/>
                <w:sz w:val="22"/>
                <w:szCs w:val="22"/>
              </w:rPr>
              <w:t xml:space="preserve">Cena za wykonaną usługę 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1D9D7E3E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75%</w:t>
            </w:r>
          </w:p>
        </w:tc>
      </w:tr>
      <w:tr w:rsidR="0037065F" w14:paraId="1342BCE2" w14:textId="77777777">
        <w:trPr>
          <w:trHeight w:val="402"/>
          <w:jc w:val="center"/>
        </w:trPr>
        <w:tc>
          <w:tcPr>
            <w:tcW w:w="661" w:type="dxa"/>
            <w:shd w:val="clear" w:color="auto" w:fill="auto"/>
          </w:tcPr>
          <w:p w14:paraId="3FF2F415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2.</w:t>
            </w:r>
          </w:p>
        </w:tc>
        <w:tc>
          <w:tcPr>
            <w:tcW w:w="4187" w:type="dxa"/>
            <w:shd w:val="clear" w:color="auto" w:fill="auto"/>
          </w:tcPr>
          <w:p w14:paraId="668AB201" w14:textId="77777777" w:rsidR="0037065F" w:rsidRDefault="00000000">
            <w:pPr>
              <w:spacing w:line="360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Czas wykonania badań (liczony w dniach, maksymalny termin wykonania badań to 60 dni od dnia przekazania materiałów do badań)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71DBAB2C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25%</w:t>
            </w:r>
          </w:p>
        </w:tc>
      </w:tr>
      <w:tr w:rsidR="0037065F" w14:paraId="2A8C8423" w14:textId="77777777">
        <w:trPr>
          <w:trHeight w:val="402"/>
          <w:jc w:val="center"/>
        </w:trPr>
        <w:tc>
          <w:tcPr>
            <w:tcW w:w="661" w:type="dxa"/>
            <w:shd w:val="clear" w:color="auto" w:fill="auto"/>
          </w:tcPr>
          <w:p w14:paraId="0254F45C" w14:textId="77777777" w:rsidR="0037065F" w:rsidRDefault="0037065F">
            <w:pPr>
              <w:spacing w:line="360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87" w:type="dxa"/>
            <w:shd w:val="clear" w:color="auto" w:fill="auto"/>
          </w:tcPr>
          <w:p w14:paraId="102F2120" w14:textId="77777777" w:rsidR="0037065F" w:rsidRDefault="00000000">
            <w:pPr>
              <w:spacing w:line="360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Razem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7B1688D6" w14:textId="77777777" w:rsidR="0037065F" w:rsidRDefault="00000000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100%</w:t>
            </w:r>
          </w:p>
        </w:tc>
      </w:tr>
    </w:tbl>
    <w:p w14:paraId="6BB5F912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Calibri" w:eastAsia="Calibri" w:hAnsi="Calibri" w:cs="Calibri"/>
          <w:color w:val="000000"/>
          <w:sz w:val="22"/>
          <w:szCs w:val="22"/>
          <w:highlight w:val="red"/>
        </w:rPr>
      </w:pPr>
    </w:p>
    <w:p w14:paraId="3F2116E2" w14:textId="77777777" w:rsidR="0037065F" w:rsidRDefault="00000000">
      <w:pPr>
        <w:spacing w:line="276" w:lineRule="auto"/>
        <w:ind w:firstLine="720"/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Maksymalna ilość punktów możliwych do uzyskania przez wykonawcę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= </w:t>
      </w:r>
      <w:r>
        <w:rPr>
          <w:rFonts w:ascii="Calibri" w:eastAsia="Calibri" w:hAnsi="Calibri" w:cs="Calibri"/>
          <w:color w:val="000000"/>
          <w:sz w:val="22"/>
          <w:szCs w:val="22"/>
        </w:rPr>
        <w:t>100 punktów</w:t>
      </w:r>
    </w:p>
    <w:p w14:paraId="7377B2F1" w14:textId="77777777" w:rsidR="0037065F" w:rsidRDefault="00000000">
      <w:pPr>
        <w:spacing w:line="276" w:lineRule="auto"/>
        <w:ind w:firstLine="720"/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(tj.: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cena </w:t>
      </w:r>
      <w:r>
        <w:rPr>
          <w:rFonts w:ascii="Calibri" w:eastAsia="Calibri" w:hAnsi="Calibri" w:cs="Calibri"/>
          <w:color w:val="000000"/>
          <w:sz w:val="22"/>
          <w:szCs w:val="22"/>
        </w:rPr>
        <w:t>7</w:t>
      </w:r>
      <w:r>
        <w:rPr>
          <w:rFonts w:ascii="Calibri" w:eastAsia="Calibri" w:hAnsi="Calibri" w:cs="Calibri"/>
          <w:sz w:val="22"/>
          <w:szCs w:val="22"/>
        </w:rPr>
        <w:t>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punktów + </w:t>
      </w:r>
      <w:r>
        <w:rPr>
          <w:rFonts w:ascii="Calibri" w:eastAsia="Calibri" w:hAnsi="Calibri" w:cs="Calibri"/>
          <w:b/>
          <w:sz w:val="22"/>
          <w:szCs w:val="22"/>
        </w:rPr>
        <w:t>czas wykonania badań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25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punktów)</w:t>
      </w:r>
    </w:p>
    <w:p w14:paraId="5218B565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</w:p>
    <w:p w14:paraId="18F3C89F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 w:firstLine="720"/>
        <w:jc w:val="both"/>
        <w:rPr>
          <w:rFonts w:ascii="Calibri" w:eastAsia="Calibri" w:hAnsi="Calibri" w:cs="Calibri"/>
          <w:color w:val="000000"/>
          <w:sz w:val="22"/>
          <w:szCs w:val="22"/>
          <w:highlight w:val="red"/>
        </w:rPr>
      </w:pPr>
      <w:r>
        <w:rPr>
          <w:rFonts w:ascii="Calibri" w:eastAsia="Calibri" w:hAnsi="Calibri" w:cs="Calibri"/>
          <w:sz w:val="22"/>
          <w:szCs w:val="22"/>
        </w:rPr>
        <w:t>Punktując złożone oferty pod kątem ceny stosowany będzie wzór:</w:t>
      </w:r>
    </w:p>
    <w:p w14:paraId="5B6448F0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  <w:highlight w:val="red"/>
        </w:rPr>
      </w:pPr>
    </w:p>
    <w:p w14:paraId="314EFC79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C = (Cm/Co) x 7</w:t>
      </w:r>
      <w:r>
        <w:rPr>
          <w:rFonts w:ascii="Calibri" w:eastAsia="Calibri" w:hAnsi="Calibri" w:cs="Calibri"/>
          <w:b/>
          <w:sz w:val="22"/>
          <w:szCs w:val="22"/>
        </w:rPr>
        <w:t>5</w:t>
      </w:r>
    </w:p>
    <w:p w14:paraId="3E388D44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gdzie: </w:t>
      </w:r>
    </w:p>
    <w:p w14:paraId="1A904558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160" w:hanging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C – ilość przyznanych punktów za kryterium cena; </w:t>
      </w:r>
    </w:p>
    <w:p w14:paraId="2BC0FA11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Cm</w:t>
      </w:r>
      <w:r>
        <w:rPr>
          <w:rFonts w:ascii="Calibri" w:eastAsia="Calibri" w:hAnsi="Calibri" w:cs="Calibri"/>
          <w:color w:val="000000"/>
          <w:sz w:val="22"/>
          <w:szCs w:val="22"/>
        </w:rPr>
        <w:tab/>
        <w:t>– najniższa cena wśród składanych ofert;</w:t>
      </w:r>
    </w:p>
    <w:p w14:paraId="2546216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Co</w:t>
      </w:r>
      <w:r>
        <w:rPr>
          <w:rFonts w:ascii="Calibri" w:eastAsia="Calibri" w:hAnsi="Calibri" w:cs="Calibri"/>
          <w:color w:val="000000"/>
          <w:sz w:val="22"/>
          <w:szCs w:val="22"/>
        </w:rPr>
        <w:tab/>
        <w:t>– cena badanej oferty.</w:t>
      </w:r>
    </w:p>
    <w:p w14:paraId="0E7BAA2F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ramach kryterium Cena brana będzie pod uwagę cena całkowita tzn. cena brutto za wykonaną usługę, która powinna być podana w polskich złotych (PLN) wraz ze wszystkimi należnymi podatkami i obciążeniami ze strony Wykonawcy, w tym zawierać podatek VAT.</w:t>
      </w:r>
    </w:p>
    <w:p w14:paraId="393C9109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  <w:highlight w:val="cyan"/>
        </w:rPr>
      </w:pPr>
    </w:p>
    <w:p w14:paraId="6394D671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Punktując złożone oferty pod kątem czas wykonania badań stosowany będzie wzór:</w:t>
      </w:r>
    </w:p>
    <w:p w14:paraId="5FF39486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</w:p>
    <w:p w14:paraId="1E95D2F7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T= (T</w:t>
      </w:r>
      <w:r>
        <w:rPr>
          <w:rFonts w:ascii="Calibri" w:eastAsia="Calibri" w:hAnsi="Calibri" w:cs="Calibri"/>
          <w:b/>
          <w:sz w:val="22"/>
          <w:szCs w:val="22"/>
        </w:rPr>
        <w:t>m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/T</w:t>
      </w:r>
      <w:r>
        <w:rPr>
          <w:rFonts w:ascii="Calibri" w:eastAsia="Calibri" w:hAnsi="Calibri" w:cs="Calibri"/>
          <w:b/>
          <w:sz w:val="22"/>
          <w:szCs w:val="22"/>
        </w:rPr>
        <w:t>o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) x </w:t>
      </w:r>
      <w:r>
        <w:rPr>
          <w:rFonts w:ascii="Calibri" w:eastAsia="Calibri" w:hAnsi="Calibri" w:cs="Calibri"/>
          <w:b/>
          <w:sz w:val="22"/>
          <w:szCs w:val="22"/>
        </w:rPr>
        <w:t>25</w:t>
      </w:r>
    </w:p>
    <w:p w14:paraId="74CB11FD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gdzie:</w:t>
      </w:r>
    </w:p>
    <w:p w14:paraId="2D7E02F5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T- ilość przyznanych punktów za kryterium </w:t>
      </w:r>
      <w:r>
        <w:rPr>
          <w:rFonts w:ascii="Calibri" w:eastAsia="Calibri" w:hAnsi="Calibri" w:cs="Calibri"/>
          <w:sz w:val="22"/>
          <w:szCs w:val="22"/>
        </w:rPr>
        <w:t>czas wykonania badań;</w:t>
      </w:r>
    </w:p>
    <w:p w14:paraId="56444825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T</w:t>
      </w:r>
      <w:r>
        <w:rPr>
          <w:rFonts w:ascii="Calibri" w:eastAsia="Calibri" w:hAnsi="Calibri" w:cs="Calibri"/>
          <w:sz w:val="22"/>
          <w:szCs w:val="22"/>
        </w:rPr>
        <w:t>m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- </w:t>
      </w:r>
      <w:r>
        <w:rPr>
          <w:rFonts w:ascii="Calibri" w:eastAsia="Calibri" w:hAnsi="Calibri" w:cs="Calibri"/>
          <w:sz w:val="22"/>
          <w:szCs w:val="22"/>
        </w:rPr>
        <w:t>najkrótszy czas wykonania badań, liczony w dniach od dnia przekazania materiałów do badań, maksymalny czas wykonania badań to 60 dni;</w:t>
      </w:r>
    </w:p>
    <w:p w14:paraId="149096CD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To- czas wykonania badań badanej oferty.</w:t>
      </w:r>
    </w:p>
    <w:p w14:paraId="09F5E468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9482A85" w14:textId="77777777" w:rsidR="0037065F" w:rsidRDefault="00000000">
      <w:pP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Dokonując oceny Zamawiający zsumuje punkty w odniesieniu do kryterium ceny oraz kryterium </w:t>
      </w:r>
      <w:r>
        <w:rPr>
          <w:rFonts w:ascii="Calibri" w:eastAsia="Calibri" w:hAnsi="Calibri" w:cs="Calibri"/>
          <w:sz w:val="22"/>
          <w:szCs w:val="22"/>
        </w:rPr>
        <w:t>czasu wykonani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a badań według następującego wzoru: </w:t>
      </w:r>
    </w:p>
    <w:p w14:paraId="209407C3" w14:textId="77777777" w:rsidR="0037065F" w:rsidRDefault="0037065F">
      <w:pP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69FA7657" w14:textId="77777777" w:rsidR="0037065F" w:rsidRDefault="00000000">
      <w:pPr>
        <w:spacing w:line="276" w:lineRule="auto"/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Po (Punkty oferty) = C (Punkty cena) + T (Punkty </w:t>
      </w:r>
      <w:r>
        <w:rPr>
          <w:rFonts w:ascii="Calibri" w:eastAsia="Calibri" w:hAnsi="Calibri" w:cs="Calibri"/>
          <w:b/>
          <w:sz w:val="22"/>
          <w:szCs w:val="22"/>
        </w:rPr>
        <w:t>czas wykonania badań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</w:t>
      </w:r>
    </w:p>
    <w:p w14:paraId="489AD1C7" w14:textId="77777777" w:rsidR="0037065F" w:rsidRDefault="0037065F">
      <w:pP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766EA7E4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wybierze najkorzystniejszą ofertę, która uzyska najwyższą ilość punktów, w oparciu o ustalone wyżej kryteria i podpisze umowę z wybranym wykonawcą.</w:t>
      </w:r>
    </w:p>
    <w:p w14:paraId="0E2BC58D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40465F1B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Mie</w:t>
      </w:r>
      <w:r>
        <w:rPr>
          <w:rFonts w:ascii="Calibri" w:eastAsia="Calibri" w:hAnsi="Calibri" w:cs="Calibri"/>
          <w:b/>
          <w:sz w:val="22"/>
          <w:szCs w:val="22"/>
        </w:rPr>
        <w:t>jsce, termin i sposób składania ofert</w:t>
      </w:r>
    </w:p>
    <w:p w14:paraId="66BB6114" w14:textId="00805488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Oferty wypełnione na formularzu ofertowym stanowiącym Załącznik nr 1 należy składać w terminie </w:t>
      </w:r>
      <w:r w:rsidRPr="0006132E">
        <w:rPr>
          <w:rFonts w:ascii="Calibri" w:eastAsia="Calibri" w:hAnsi="Calibri" w:cs="Calibri"/>
          <w:sz w:val="22"/>
          <w:szCs w:val="22"/>
        </w:rPr>
        <w:t xml:space="preserve">do </w:t>
      </w:r>
      <w:r w:rsidRPr="0006132E">
        <w:rPr>
          <w:rFonts w:ascii="Calibri" w:eastAsia="Calibri" w:hAnsi="Calibri" w:cs="Calibri"/>
          <w:b/>
          <w:sz w:val="22"/>
          <w:szCs w:val="22"/>
        </w:rPr>
        <w:t>15.10.2024 r do godz. 23:59</w:t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(liczy się data i godzina wpływu):</w:t>
      </w:r>
    </w:p>
    <w:p w14:paraId="3D88270A" w14:textId="77777777" w:rsidR="0037065F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76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poprzez Bazę Konkurencyjności pod adresem: https://bazakonkurencyjnosci.funduszeeuropejskie.gov.pl/.</w:t>
      </w:r>
    </w:p>
    <w:p w14:paraId="2B4E7E41" w14:textId="77777777" w:rsidR="0037065F" w:rsidRDefault="00000000">
      <w:pP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Oferty złożone po tym terminie nie będą rozpatrywane. </w:t>
      </w:r>
    </w:p>
    <w:p w14:paraId="7D4E525C" w14:textId="77777777" w:rsidR="0037065F" w:rsidRDefault="00000000">
      <w:pPr>
        <w:spacing w:before="240"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Brane będą pod uwagę jedynie kompletne oferty tj. oferty wraz z wymaganymi załącznikami, przy czym oferta oraz oświadczenie wykonawcy o spełnieniu warunków udziału w postępowaniu, muszą być wypełnione na wzorach stanowiących Załącznik nr 1, 2 do niniejszego zapytania.</w:t>
      </w:r>
    </w:p>
    <w:p w14:paraId="40BA8FF4" w14:textId="77777777" w:rsidR="0037065F" w:rsidRDefault="00000000">
      <w:pPr>
        <w:spacing w:before="240"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Załączniki dodatkowe, niewymagane przez Zamawiającego niniejszym zapytaniem, nie będą stanowić powodu do odrzucenia oferty, przy czym nie będą one brane pod uwagę. </w:t>
      </w:r>
    </w:p>
    <w:p w14:paraId="50315948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103B109A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Warunki zmiany umowy</w:t>
      </w:r>
    </w:p>
    <w:p w14:paraId="0FDB9BA7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76EF007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określa następujące okoliczności, które mogą powodować konieczność wprowadzenia zmian w treści zawartej umowy w stosunku do treści złożonej oferty:</w:t>
      </w:r>
    </w:p>
    <w:p w14:paraId="49F1311D" w14:textId="77777777" w:rsidR="0037065F" w:rsidRDefault="00000000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Termin bądź zakres realizacji przedmiotu umowy może ulec zmianie w następujących sytuacjach:</w:t>
      </w:r>
    </w:p>
    <w:p w14:paraId="44F610C2" w14:textId="77777777" w:rsidR="0037065F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przypadku wystąpienia okoliczności niezależnych od Wykonawcy, na jego uzasadniony wniosek, pod warunkiem, że zmiana ta wynika z okoliczności, których Wykonawca nie mógł przewidzieć na etapie składania oferty i nie jest przez niego zawiniona;</w:t>
      </w:r>
    </w:p>
    <w:p w14:paraId="2EEDB98B" w14:textId="77777777" w:rsidR="0037065F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Wystąpienia okoliczności, których obiektywnie nie można było przewidzieć w chwili zawarcia umowy;</w:t>
      </w:r>
    </w:p>
    <w:p w14:paraId="70F3E5E1" w14:textId="77777777" w:rsidR="0037065F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przypadku, gdy zaistnieje inna, niemożliwa do przewidzenia w momencie zawarcia umowy okoliczność prawna, ekonomiczna, techniczna, lub wystąpi siła wyższa, za którą żadna ze stron nie ponosi odpowiedzialności, skutkująca brakiem możliwości należytego wykonania umowy zgodnie z zamówieniem.</w:t>
      </w:r>
    </w:p>
    <w:p w14:paraId="04AC99AF" w14:textId="77777777" w:rsidR="0037065F" w:rsidRDefault="00000000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Wynagrodzenie Wykonawcy określone w umowie może ulec zmianom w następujących przypadkach:</w:t>
      </w:r>
    </w:p>
    <w:p w14:paraId="6C90832C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przypadku zmiany przepisów i regulacji prawno-podatkowych, uzyskanych przez Zamawiającego interpretacji podatkowych, skarbowych i wszelkich innych odgórnych decyzji powodujących zmianę kosztów wykonania umowy;</w:t>
      </w:r>
    </w:p>
    <w:p w14:paraId="7F051C73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Zmiana obowiązującej stawki VAT – jeśli zmiana stawki VAT będzie powodować zmianę kosztów wykonania umowy po stronie Wykonawcy, Zamawiający dopuszcza możliwość zwiększenia/zmniejszenia wynagrodzenia o kwotę równą różnicy w kwocie podatku zapłaconego przez Wykonawcę.</w:t>
      </w:r>
    </w:p>
    <w:p w14:paraId="02217685" w14:textId="77777777" w:rsidR="0037065F" w:rsidRDefault="0037065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ind w:left="21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58CC80D7" w14:textId="77777777" w:rsidR="0037065F" w:rsidRDefault="00000000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Inne zmiany:</w:t>
      </w:r>
    </w:p>
    <w:p w14:paraId="38779E9C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przypadku zmiany regulacji prawnych obowiązujących w dniu podpisania umowy z Wykonawcą, który będzie wnosił nowe wymagania co do sposobu realizacji jakiegokolwiek tematu ujętego przedmiotem zamówienia pod warunkiem, że nie będzie to związane ze zmianą zakresu i wartości przedmiotu zamówienia;</w:t>
      </w:r>
    </w:p>
    <w:p w14:paraId="600CA3BB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przypadku otrzymania decyzji NCBiR zawierającej zmiany zakresu zadań, terminów realizacji czy też ustalającej dodatkowe postanowienia, do których Zamawiający zostanie zobowiązany;</w:t>
      </w:r>
    </w:p>
    <w:p w14:paraId="5FF22DB3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Zmiana osób odpowiedzialnych za kontakty i nadzór nad realizacją przedmiotu umowy,</w:t>
      </w:r>
    </w:p>
    <w:p w14:paraId="68D01407" w14:textId="77777777" w:rsidR="0037065F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Wystąpienie oczywistych omyłek pisarskich i rachunkowych w treści umowy.</w:t>
      </w:r>
    </w:p>
    <w:p w14:paraId="119D2EE1" w14:textId="77777777" w:rsidR="0037065F" w:rsidRDefault="0037065F">
      <w:pPr>
        <w:spacing w:line="276" w:lineRule="auto"/>
        <w:ind w:left="1134" w:firstLine="24"/>
        <w:jc w:val="both"/>
        <w:rPr>
          <w:rFonts w:ascii="Calibri" w:eastAsia="Calibri" w:hAnsi="Calibri" w:cs="Calibri"/>
          <w:sz w:val="22"/>
          <w:szCs w:val="22"/>
        </w:rPr>
      </w:pPr>
    </w:p>
    <w:p w14:paraId="561C3B83" w14:textId="77777777" w:rsidR="0037065F" w:rsidRDefault="00000000">
      <w:pPr>
        <w:spacing w:line="276" w:lineRule="auto"/>
        <w:ind w:left="1134" w:firstLine="2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Zmiany, o których mowa powyżej dopuszczone będą wyłącznie pod warunkiem złożenia wniosku przez Wykonawcę i po akceptacji przez Zamawiającego, a ich wprowadzenie wymagać będzie formy pisemnej pod rygorem nieważności.</w:t>
      </w:r>
    </w:p>
    <w:p w14:paraId="1423FF43" w14:textId="77777777" w:rsidR="0037065F" w:rsidRDefault="0037065F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4046BAE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Informacje dodatkowe</w:t>
      </w:r>
    </w:p>
    <w:p w14:paraId="78A3D0D8" w14:textId="77777777" w:rsidR="0037065F" w:rsidRDefault="0037065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ind w:left="1080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C62D53D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Warunki rozliczenia wynagrodzenia:</w:t>
      </w:r>
    </w:p>
    <w:p w14:paraId="469B2C93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Rozliczenie świadczonej usługi odbędzie się na podstawie wystawionej przez Wykonawcę faktury, dla której podstawę do wystawienia będzie stanowić protokół odbioru.</w:t>
      </w:r>
    </w:p>
    <w:p w14:paraId="4A09CBB5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Sposób obliczania ceny oferty:</w:t>
      </w:r>
    </w:p>
    <w:p w14:paraId="74D8C374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Cena oferty Wykonawcy musi uwzględniać wszystkie wymagania związane z zamówieniem oraz obejmować wszystkie koszty, jakie poniesie Wykonawca z tytułu należytej oraz zgodnej z obowiązującymi przepisami realizacji przedmiotu zamówienia i nie może ulec zmianie przez cały okres obowiązywania umowy.</w:t>
      </w:r>
    </w:p>
    <w:p w14:paraId="3ACF3E24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formularzu ofertowym podając cenę, Wykonawca wskazuje całkowite cenę za wykonanie usługi, będącej przedmiotem zamówienia.</w:t>
      </w:r>
    </w:p>
    <w:p w14:paraId="3B8FAE70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formularzu ofertowym wszystkie kwoty należy podać w PLN oraz zaokrąglać do 2 miejsc po przecinku. Stawkę podatku VAT należy obliczyć zgodnie z obowiązującymi przepisami. Wykonawca powinien sporządzić ofertę podając cenę netto, należny podatek VAT i cenę brutto.</w:t>
      </w:r>
    </w:p>
    <w:p w14:paraId="1223E3D8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40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Skutki finansowe błędnego obliczenia ceny, wynikające z nieuwzględnienia wszystkich okoliczności, które mogą wpływać na cenę, obciążają Wykonawcę.</w:t>
      </w:r>
    </w:p>
    <w:p w14:paraId="05E89131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 xml:space="preserve">Formularz oferty i załączniki do oferty w postaci: </w:t>
      </w:r>
    </w:p>
    <w:p w14:paraId="4616AF5C" w14:textId="77777777" w:rsidR="0037065F" w:rsidRDefault="00000000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oświadczenia wykonawcy o spełnieniu warunków udziału w postępowaniu, </w:t>
      </w:r>
    </w:p>
    <w:p w14:paraId="6F523CDA" w14:textId="77777777" w:rsidR="0037065F" w:rsidRDefault="00000000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kopii dokumentów potwierdzających spełnienie warunków udziału w postępowaniu (jeśli dotyczy),</w:t>
      </w:r>
    </w:p>
    <w:p w14:paraId="40F56EA2" w14:textId="77777777" w:rsidR="0037065F" w:rsidRDefault="00000000">
      <w:pPr>
        <w:spacing w:line="276" w:lineRule="auto"/>
        <w:ind w:left="144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muszą być podpisane przez upoważnionego(ych) przedstawiciela(i) Wykonawcy zgodnie z formą reprezentacji Wykonawcy określoną w dokumencie rejestrowym (ewidencyjnym) Wykonawcy. W przypadku, gdy ofertę w imieniu Wykonawcy podpisuje pełnomocnik (osoba nie umocowana do tych czynności w dokumentach rejestracyjnych Wykonawcy) należy do oferty dołączyć stosowne pełnomocnictwo. Pełnomocnictwo powinno być przedstawione w formie oryginału lub poświadczonej za zgodność z oryginałem kopii przez notariusza lub osoby, których uprawnienie do reprezentacji wynika z dokumentu rejestracyjnego (ewidencyjnego), zgodnie ze sposobem reprezentacji określonym w tych dokumentach.</w:t>
      </w:r>
    </w:p>
    <w:p w14:paraId="22A20502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zastrzega prawo do unieważnienia postępowania bez podania przyczyny w trakcie jego trwania w przypadku zaistnienia niemożliwej wcześniej do przewidzenia okoliczności prawnej, ekonomicznej, technicznej lub wystąpienia siły wyższej, za którą żadna ze stron nie ponosi odpowiedzialności, w szczególności, gdy:</w:t>
      </w:r>
    </w:p>
    <w:p w14:paraId="3CA6F47E" w14:textId="77777777" w:rsidR="0037065F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postępowanie obarczone jest niemożliwą do usunięcia wadą, </w:t>
      </w:r>
    </w:p>
    <w:p w14:paraId="6BFE6CA6" w14:textId="77777777" w:rsidR="0037065F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wystąpiła istotna zmiana okoliczności powodująca, że przeprowadzenie postępowania lub wykonanie zamówienia nie leży w interesie Zamawiającego.</w:t>
      </w:r>
    </w:p>
    <w:p w14:paraId="1A9B0535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dopuszcza składanie ofert sporządzonych wyłącznie w języku polskim.</w:t>
      </w:r>
    </w:p>
    <w:p w14:paraId="4823811E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Zamawiający nie dopuszcza składania ofert częściowych. </w:t>
      </w:r>
    </w:p>
    <w:p w14:paraId="151D44F3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Zamawiający nie dopuszcza składania ofert wariantowych. </w:t>
      </w:r>
    </w:p>
    <w:p w14:paraId="1EEAEB15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Zamawiający nie przewiduje zamówień uzupełniających. </w:t>
      </w:r>
    </w:p>
    <w:p w14:paraId="35493F13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nie wymaga wniesienia wadium na przedmiotowe postępowanie.</w:t>
      </w:r>
    </w:p>
    <w:p w14:paraId="56058974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Koszty przygotowania oferty ponosi Wykonawca.</w:t>
      </w:r>
    </w:p>
    <w:p w14:paraId="2D7700E8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Wykonawca pozostaje związany ofertą przez okres 90 dni. Bieg terminu związania ofertą rozpoczyna się wraz z upływem terminu składania ofert.</w:t>
      </w:r>
    </w:p>
    <w:p w14:paraId="496A8EFC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Wyniki rozstrzygnięcia wyboru oferty zostaną opublikowane w terminie 7 dni od daty zakończenia terminu składania ofert.</w:t>
      </w:r>
    </w:p>
    <w:p w14:paraId="17FC370F" w14:textId="77777777" w:rsidR="0037065F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Zamawiający nie wymaga od Wykonawcy, którego oferta zostanie wybrana jako najkorzystniejsza, wniesienia zabezpieczenia należytego wykonania umowy.</w:t>
      </w:r>
    </w:p>
    <w:p w14:paraId="41D9084D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3E20413F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Sposób udzielania informacji i wyjaśnień</w:t>
      </w:r>
    </w:p>
    <w:p w14:paraId="7673EE77" w14:textId="77777777" w:rsidR="0037065F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Komunikacja odbywa się wyłącznie poprzez Bazę Konkurencyjności, zakładka PYTANIA. </w:t>
      </w:r>
    </w:p>
    <w:p w14:paraId="5890509A" w14:textId="77777777" w:rsidR="0037065F" w:rsidRDefault="0037065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Calibri" w:eastAsia="Calibri" w:hAnsi="Calibri" w:cs="Calibri"/>
          <w:sz w:val="22"/>
          <w:szCs w:val="22"/>
        </w:rPr>
      </w:pPr>
    </w:p>
    <w:p w14:paraId="33710A13" w14:textId="77777777" w:rsidR="0037065F" w:rsidRDefault="00000000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Załączniki do zapytania ofertowego:</w:t>
      </w:r>
    </w:p>
    <w:p w14:paraId="129C447C" w14:textId="77777777" w:rsidR="0037065F" w:rsidRDefault="00000000">
      <w:pPr>
        <w:numPr>
          <w:ilvl w:val="0"/>
          <w:numId w:val="1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Załącznik nr 1 - 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Formularz oferty, </w:t>
      </w:r>
    </w:p>
    <w:p w14:paraId="0FFC0AC3" w14:textId="77777777" w:rsidR="0037065F" w:rsidRDefault="00000000">
      <w:pPr>
        <w:numPr>
          <w:ilvl w:val="0"/>
          <w:numId w:val="1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6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Załącznik nr 2 - </w:t>
      </w:r>
      <w:r>
        <w:rPr>
          <w:rFonts w:ascii="Calibri" w:eastAsia="Calibri" w:hAnsi="Calibri" w:cs="Calibri"/>
          <w:color w:val="000000"/>
          <w:sz w:val="22"/>
          <w:szCs w:val="22"/>
        </w:rPr>
        <w:t>Oświadczenie wykonawcy.</w:t>
      </w:r>
    </w:p>
    <w:sectPr w:rsidR="0037065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702" w:right="1134" w:bottom="1134" w:left="1134" w:header="454" w:footer="45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4B2011" w14:textId="77777777" w:rsidR="00D50177" w:rsidRDefault="00D50177">
      <w:r>
        <w:separator/>
      </w:r>
    </w:p>
  </w:endnote>
  <w:endnote w:type="continuationSeparator" w:id="0">
    <w:p w14:paraId="1ED0A262" w14:textId="77777777" w:rsidR="00D50177" w:rsidRDefault="00D5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2314AF7-0125-4B0C-B1A3-11D63022859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46CF7C3B-54BE-495F-B0C5-0F6578606E9B}"/>
    <w:embedBold r:id="rId3" w:fontKey="{68813B42-9F9B-4E22-AE39-68CEBCEA5546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293E69BF-6946-42E8-AC50-476B3191BB1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105EAFC3-5D2B-4549-9155-015A1B98E62C}"/>
    <w:embedBold r:id="rId6" w:fontKey="{9F438E53-140D-4802-A7F1-93277BD2AC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205DE" w14:textId="77777777" w:rsidR="0037065F" w:rsidRDefault="003706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8E7C9" w14:textId="77777777" w:rsidR="0037065F" w:rsidRDefault="00000000">
    <w:pPr>
      <w:tabs>
        <w:tab w:val="center" w:pos="4536"/>
        <w:tab w:val="right" w:pos="9072"/>
      </w:tabs>
      <w:jc w:val="center"/>
      <w:rPr>
        <w:rFonts w:ascii="Arial" w:eastAsia="Arial" w:hAnsi="Arial" w:cs="Arial"/>
        <w:sz w:val="18"/>
        <w:szCs w:val="18"/>
      </w:rPr>
    </w:pPr>
    <w:r>
      <w:rPr>
        <w:rFonts w:ascii="Arial" w:eastAsia="Arial" w:hAnsi="Arial" w:cs="Arial"/>
        <w:sz w:val="18"/>
        <w:szCs w:val="18"/>
      </w:rPr>
      <w:t xml:space="preserve">Strona </w:t>
    </w:r>
    <w:r>
      <w:rPr>
        <w:rFonts w:ascii="Arial" w:eastAsia="Arial" w:hAnsi="Arial" w:cs="Arial"/>
        <w:b/>
        <w:sz w:val="18"/>
        <w:szCs w:val="18"/>
      </w:rPr>
      <w:fldChar w:fldCharType="begin"/>
    </w:r>
    <w:r>
      <w:rPr>
        <w:rFonts w:ascii="Arial" w:eastAsia="Arial" w:hAnsi="Arial" w:cs="Arial"/>
        <w:b/>
        <w:sz w:val="18"/>
        <w:szCs w:val="18"/>
      </w:rPr>
      <w:instrText>PAGE</w:instrText>
    </w:r>
    <w:r>
      <w:rPr>
        <w:rFonts w:ascii="Arial" w:eastAsia="Arial" w:hAnsi="Arial" w:cs="Arial"/>
        <w:b/>
        <w:sz w:val="18"/>
        <w:szCs w:val="18"/>
      </w:rPr>
      <w:fldChar w:fldCharType="separate"/>
    </w:r>
    <w:r w:rsidR="00507988">
      <w:rPr>
        <w:rFonts w:ascii="Arial" w:eastAsia="Arial" w:hAnsi="Arial" w:cs="Arial"/>
        <w:b/>
        <w:noProof/>
        <w:sz w:val="18"/>
        <w:szCs w:val="18"/>
      </w:rPr>
      <w:t>1</w:t>
    </w:r>
    <w:r>
      <w:rPr>
        <w:rFonts w:ascii="Arial" w:eastAsia="Arial" w:hAnsi="Arial" w:cs="Arial"/>
        <w:b/>
        <w:sz w:val="18"/>
        <w:szCs w:val="18"/>
      </w:rPr>
      <w:fldChar w:fldCharType="end"/>
    </w:r>
    <w:r>
      <w:rPr>
        <w:rFonts w:ascii="Arial" w:eastAsia="Arial" w:hAnsi="Arial" w:cs="Arial"/>
        <w:sz w:val="18"/>
        <w:szCs w:val="18"/>
      </w:rPr>
      <w:t xml:space="preserve"> z </w:t>
    </w:r>
    <w:r>
      <w:rPr>
        <w:rFonts w:ascii="Arial" w:eastAsia="Arial" w:hAnsi="Arial" w:cs="Arial"/>
        <w:b/>
        <w:sz w:val="18"/>
        <w:szCs w:val="18"/>
      </w:rPr>
      <w:fldChar w:fldCharType="begin"/>
    </w:r>
    <w:r>
      <w:rPr>
        <w:rFonts w:ascii="Arial" w:eastAsia="Arial" w:hAnsi="Arial" w:cs="Arial"/>
        <w:b/>
        <w:sz w:val="18"/>
        <w:szCs w:val="18"/>
      </w:rPr>
      <w:instrText>NUMPAGES</w:instrText>
    </w:r>
    <w:r>
      <w:rPr>
        <w:rFonts w:ascii="Arial" w:eastAsia="Arial" w:hAnsi="Arial" w:cs="Arial"/>
        <w:b/>
        <w:sz w:val="18"/>
        <w:szCs w:val="18"/>
      </w:rPr>
      <w:fldChar w:fldCharType="separate"/>
    </w:r>
    <w:r w:rsidR="00507988">
      <w:rPr>
        <w:rFonts w:ascii="Arial" w:eastAsia="Arial" w:hAnsi="Arial" w:cs="Arial"/>
        <w:b/>
        <w:noProof/>
        <w:sz w:val="18"/>
        <w:szCs w:val="18"/>
      </w:rPr>
      <w:t>2</w:t>
    </w:r>
    <w:r>
      <w:rPr>
        <w:rFonts w:ascii="Arial" w:eastAsia="Arial" w:hAnsi="Arial" w:cs="Arial"/>
        <w:b/>
        <w:sz w:val="18"/>
        <w:szCs w:val="18"/>
      </w:rPr>
      <w:fldChar w:fldCharType="end"/>
    </w:r>
  </w:p>
  <w:p w14:paraId="0100E297" w14:textId="77777777" w:rsidR="0037065F" w:rsidRDefault="0037065F">
    <w:pPr>
      <w:tabs>
        <w:tab w:val="center" w:pos="4536"/>
        <w:tab w:val="right" w:pos="9072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6C838" w14:textId="77777777" w:rsidR="0037065F" w:rsidRDefault="003706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1802FB" w14:textId="77777777" w:rsidR="00D50177" w:rsidRDefault="00D50177">
      <w:r>
        <w:separator/>
      </w:r>
    </w:p>
  </w:footnote>
  <w:footnote w:type="continuationSeparator" w:id="0">
    <w:p w14:paraId="23F01E6B" w14:textId="77777777" w:rsidR="00D50177" w:rsidRDefault="00D501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D1EF6" w14:textId="77777777" w:rsidR="0037065F" w:rsidRDefault="003706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A131BF" w14:textId="77777777" w:rsidR="0037065F" w:rsidRDefault="00000000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rPr>
        <w:color w:val="000000"/>
      </w:rPr>
    </w:pPr>
    <w:r>
      <w:rPr>
        <w:noProof/>
        <w:color w:val="000000"/>
      </w:rPr>
      <w:drawing>
        <wp:inline distT="0" distB="0" distL="0" distR="0" wp14:anchorId="7AED65EE" wp14:editId="006C5945">
          <wp:extent cx="6115050" cy="8763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505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FFE68EA" w14:textId="77777777" w:rsidR="0037065F" w:rsidRDefault="0037065F">
    <w:pPr>
      <w:tabs>
        <w:tab w:val="left" w:pos="7417"/>
      </w:tabs>
      <w:spacing w:line="480" w:lineRule="auto"/>
      <w:ind w:left="-964" w:right="-96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7D878" w14:textId="77777777" w:rsidR="0037065F" w:rsidRDefault="003706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A7D43"/>
    <w:multiLevelType w:val="multilevel"/>
    <w:tmpl w:val="ADDC4EE8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" w15:restartNumberingAfterBreak="0">
    <w:nsid w:val="07312276"/>
    <w:multiLevelType w:val="multilevel"/>
    <w:tmpl w:val="6CDEE6D2"/>
    <w:lvl w:ilvl="0">
      <w:start w:val="1"/>
      <w:numFmt w:val="lowerLetter"/>
      <w:lvlText w:val="%1)"/>
      <w:lvlJc w:val="left"/>
      <w:pPr>
        <w:ind w:left="2520" w:hanging="360"/>
      </w:pPr>
    </w:lvl>
    <w:lvl w:ilvl="1">
      <w:start w:val="1"/>
      <w:numFmt w:val="lowerLetter"/>
      <w:lvlText w:val="%2."/>
      <w:lvlJc w:val="left"/>
      <w:pPr>
        <w:ind w:left="3240" w:hanging="360"/>
      </w:pPr>
    </w:lvl>
    <w:lvl w:ilvl="2">
      <w:start w:val="1"/>
      <w:numFmt w:val="lowerRoman"/>
      <w:lvlText w:val="%3."/>
      <w:lvlJc w:val="right"/>
      <w:pPr>
        <w:ind w:left="3960" w:hanging="180"/>
      </w:pPr>
    </w:lvl>
    <w:lvl w:ilvl="3">
      <w:start w:val="1"/>
      <w:numFmt w:val="decimal"/>
      <w:lvlText w:val="%4."/>
      <w:lvlJc w:val="left"/>
      <w:pPr>
        <w:ind w:left="4680" w:hanging="360"/>
      </w:pPr>
    </w:lvl>
    <w:lvl w:ilvl="4">
      <w:start w:val="1"/>
      <w:numFmt w:val="lowerLetter"/>
      <w:lvlText w:val="%5."/>
      <w:lvlJc w:val="left"/>
      <w:pPr>
        <w:ind w:left="5400" w:hanging="360"/>
      </w:pPr>
    </w:lvl>
    <w:lvl w:ilvl="5">
      <w:start w:val="1"/>
      <w:numFmt w:val="lowerRoman"/>
      <w:lvlText w:val="%6."/>
      <w:lvlJc w:val="right"/>
      <w:pPr>
        <w:ind w:left="6120" w:hanging="180"/>
      </w:pPr>
    </w:lvl>
    <w:lvl w:ilvl="6">
      <w:start w:val="1"/>
      <w:numFmt w:val="decimal"/>
      <w:lvlText w:val="%7."/>
      <w:lvlJc w:val="left"/>
      <w:pPr>
        <w:ind w:left="6840" w:hanging="360"/>
      </w:pPr>
    </w:lvl>
    <w:lvl w:ilvl="7">
      <w:start w:val="1"/>
      <w:numFmt w:val="lowerLetter"/>
      <w:lvlText w:val="%8."/>
      <w:lvlJc w:val="left"/>
      <w:pPr>
        <w:ind w:left="7560" w:hanging="360"/>
      </w:pPr>
    </w:lvl>
    <w:lvl w:ilvl="8">
      <w:start w:val="1"/>
      <w:numFmt w:val="lowerRoman"/>
      <w:lvlText w:val="%9."/>
      <w:lvlJc w:val="right"/>
      <w:pPr>
        <w:ind w:left="8280" w:hanging="180"/>
      </w:pPr>
    </w:lvl>
  </w:abstractNum>
  <w:abstractNum w:abstractNumId="2" w15:restartNumberingAfterBreak="0">
    <w:nsid w:val="0E84153A"/>
    <w:multiLevelType w:val="multilevel"/>
    <w:tmpl w:val="0ADC05F4"/>
    <w:lvl w:ilvl="0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F707520"/>
    <w:multiLevelType w:val="multilevel"/>
    <w:tmpl w:val="4CF6E0E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15AC11E3"/>
    <w:multiLevelType w:val="multilevel"/>
    <w:tmpl w:val="C032BCC6"/>
    <w:lvl w:ilvl="0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DEA1F64"/>
    <w:multiLevelType w:val="multilevel"/>
    <w:tmpl w:val="EBC22950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48516E8"/>
    <w:multiLevelType w:val="multilevel"/>
    <w:tmpl w:val="EF32D97E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095BB6"/>
    <w:multiLevelType w:val="multilevel"/>
    <w:tmpl w:val="2E8074C4"/>
    <w:lvl w:ilvl="0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D194164"/>
    <w:multiLevelType w:val="multilevel"/>
    <w:tmpl w:val="D5ACC560"/>
    <w:lvl w:ilvl="0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D7472CE"/>
    <w:multiLevelType w:val="multilevel"/>
    <w:tmpl w:val="218EA11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3521839"/>
    <w:multiLevelType w:val="multilevel"/>
    <w:tmpl w:val="0A20AFEA"/>
    <w:lvl w:ilvl="0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1187EE3"/>
    <w:multiLevelType w:val="multilevel"/>
    <w:tmpl w:val="368638C8"/>
    <w:lvl w:ilvl="0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num w:numId="1" w16cid:durableId="401489132">
    <w:abstractNumId w:val="4"/>
  </w:num>
  <w:num w:numId="2" w16cid:durableId="361711123">
    <w:abstractNumId w:val="11"/>
  </w:num>
  <w:num w:numId="3" w16cid:durableId="530609434">
    <w:abstractNumId w:val="9"/>
  </w:num>
  <w:num w:numId="4" w16cid:durableId="349181852">
    <w:abstractNumId w:val="2"/>
  </w:num>
  <w:num w:numId="5" w16cid:durableId="579406028">
    <w:abstractNumId w:val="6"/>
  </w:num>
  <w:num w:numId="6" w16cid:durableId="2146312814">
    <w:abstractNumId w:val="8"/>
  </w:num>
  <w:num w:numId="7" w16cid:durableId="1989938855">
    <w:abstractNumId w:val="3"/>
  </w:num>
  <w:num w:numId="8" w16cid:durableId="1254317867">
    <w:abstractNumId w:val="5"/>
  </w:num>
  <w:num w:numId="9" w16cid:durableId="1674840081">
    <w:abstractNumId w:val="1"/>
  </w:num>
  <w:num w:numId="10" w16cid:durableId="1289386619">
    <w:abstractNumId w:val="0"/>
  </w:num>
  <w:num w:numId="11" w16cid:durableId="1972783481">
    <w:abstractNumId w:val="10"/>
  </w:num>
  <w:num w:numId="12" w16cid:durableId="12719327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065F"/>
    <w:rsid w:val="0006132E"/>
    <w:rsid w:val="0037065F"/>
    <w:rsid w:val="00507988"/>
    <w:rsid w:val="00D50177"/>
    <w:rsid w:val="00FC2B48"/>
    <w:rsid w:val="00FF0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A0AAB9"/>
  <w15:docId w15:val="{7CE11EAB-53DA-4FB0-B2B6-D7BE2E15C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spacing w:before="240" w:after="60"/>
      <w:outlineLvl w:val="0"/>
    </w:pPr>
    <w:rPr>
      <w:rFonts w:ascii="Cambria" w:eastAsia="Cambria" w:hAnsi="Cambria" w:cs="Cambria"/>
      <w:b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tabs>
        <w:tab w:val="left" w:pos="-2160"/>
      </w:tabs>
      <w:ind w:left="576" w:hanging="576"/>
      <w:jc w:val="both"/>
      <w:outlineLvl w:val="1"/>
    </w:pPr>
    <w:rPr>
      <w:b/>
      <w:sz w:val="20"/>
      <w:szCs w:val="2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00"/>
      <w:outlineLvl w:val="2"/>
    </w:pPr>
    <w:rPr>
      <w:rFonts w:ascii="Cambria" w:eastAsia="Cambria" w:hAnsi="Cambria" w:cs="Cambria"/>
      <w:b/>
      <w:color w:val="4F81BD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jc w:val="center"/>
    </w:pPr>
    <w:rPr>
      <w:sz w:val="36"/>
      <w:szCs w:val="3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jc w:val="center"/>
    </w:pPr>
    <w:rPr>
      <w:b/>
      <w:sz w:val="28"/>
      <w:szCs w:val="28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26AA6"/>
    <w:rPr>
      <w:sz w:val="16"/>
      <w:szCs w:val="16"/>
    </w:rPr>
  </w:style>
  <w:style w:type="paragraph" w:styleId="Tekstkomentarza">
    <w:name w:val="annotation text"/>
    <w:aliases w:val="Znak"/>
    <w:basedOn w:val="Normalny"/>
    <w:link w:val="TekstkomentarzaZnak"/>
    <w:unhideWhenUsed/>
    <w:rsid w:val="00F26AA6"/>
    <w:rPr>
      <w:sz w:val="20"/>
      <w:szCs w:val="20"/>
    </w:rPr>
  </w:style>
  <w:style w:type="character" w:customStyle="1" w:styleId="TekstkomentarzaZnak">
    <w:name w:val="Tekst komentarza Znak"/>
    <w:aliases w:val="Znak Znak"/>
    <w:basedOn w:val="Domylnaczcionkaakapitu"/>
    <w:link w:val="Tekstkomentarza"/>
    <w:uiPriority w:val="99"/>
    <w:rsid w:val="00F26AA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26AA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26AA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6AA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6AA6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unhideWhenUsed/>
    <w:rsid w:val="00F26AA6"/>
    <w:pPr>
      <w:suppressAutoHyphens/>
      <w:jc w:val="both"/>
    </w:pPr>
    <w:rPr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F26AA6"/>
    <w:rPr>
      <w:color w:val="auto"/>
      <w:lang w:eastAsia="ar-SA"/>
    </w:rPr>
  </w:style>
  <w:style w:type="paragraph" w:styleId="Akapitzlist">
    <w:name w:val="List Paragraph"/>
    <w:basedOn w:val="Normalny"/>
    <w:link w:val="AkapitzlistZnak"/>
    <w:qFormat/>
    <w:rsid w:val="00F26AA6"/>
    <w:pPr>
      <w:ind w:left="720"/>
      <w:contextualSpacing/>
    </w:p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"/>
    <w:uiPriority w:val="99"/>
    <w:rsid w:val="002D104A"/>
    <w:rPr>
      <w:vertAlign w:val="superscript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-E Fuﬂnotentext,Fuﬂnotentext Ursprung"/>
    <w:basedOn w:val="Normalny"/>
    <w:link w:val="TekstprzypisudolnegoZnak"/>
    <w:uiPriority w:val="99"/>
    <w:rsid w:val="002D104A"/>
    <w:pPr>
      <w:suppressAutoHyphens/>
    </w:pPr>
    <w:rPr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rsid w:val="002D104A"/>
    <w:rPr>
      <w:color w:val="auto"/>
      <w:sz w:val="20"/>
      <w:szCs w:val="20"/>
      <w:lang w:eastAsia="ar-SA"/>
    </w:rPr>
  </w:style>
  <w:style w:type="character" w:customStyle="1" w:styleId="AkapitzlistZnak">
    <w:name w:val="Akapit z listą Znak"/>
    <w:basedOn w:val="Domylnaczcionkaakapitu"/>
    <w:link w:val="Akapitzlist"/>
    <w:rsid w:val="002D104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13EC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13EC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13EC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53298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32986"/>
  </w:style>
  <w:style w:type="paragraph" w:styleId="Stopka">
    <w:name w:val="footer"/>
    <w:basedOn w:val="Normalny"/>
    <w:link w:val="StopkaZnak"/>
    <w:uiPriority w:val="99"/>
    <w:unhideWhenUsed/>
    <w:rsid w:val="0053298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32986"/>
  </w:style>
  <w:style w:type="character" w:customStyle="1" w:styleId="TekstkomentarzaZnak1">
    <w:name w:val="Tekst komentarza Znak1"/>
    <w:aliases w:val="Znak Znak1"/>
    <w:rsid w:val="00107F67"/>
    <w:rPr>
      <w:lang w:eastAsia="ar-SA"/>
    </w:rPr>
  </w:style>
  <w:style w:type="character" w:customStyle="1" w:styleId="TekstpodstawowyZnak1">
    <w:name w:val="Tekst podstawowy Znak1"/>
    <w:locked/>
    <w:rsid w:val="00107F67"/>
    <w:rPr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7C6AAE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13F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212D7"/>
    <w:rPr>
      <w:color w:val="605E5C"/>
      <w:shd w:val="clear" w:color="auto" w:fill="E1DFDD"/>
    </w:r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Default">
    <w:name w:val="Default"/>
    <w:rsid w:val="003D750D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customStyle="1" w:styleId="text">
    <w:name w:val="text"/>
    <w:basedOn w:val="Normalny"/>
    <w:rsid w:val="001124A9"/>
    <w:pPr>
      <w:spacing w:before="100" w:beforeAutospacing="1" w:after="100" w:afterAutospacing="1"/>
    </w:pPr>
  </w:style>
  <w:style w:type="paragraph" w:customStyle="1" w:styleId="label">
    <w:name w:val="label"/>
    <w:basedOn w:val="Normalny"/>
    <w:rsid w:val="001124A9"/>
    <w:pPr>
      <w:spacing w:before="100" w:beforeAutospacing="1" w:after="100" w:afterAutospacing="1"/>
    </w:p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IVckZQaVJN1RnnyG2b3FhqL3RkA==">CgMxLjAyCGgudHlqY3d0MgloLjJldDkycDA4AHIhMV80UU9Rd1NxbHJhS0tEMmljQ2ZfYzVvQjcxdEZVajIx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Metadata/LabelInfo.xml><?xml version="1.0" encoding="utf-8"?>
<clbl:labelList xmlns:clbl="http://schemas.microsoft.com/office/2020/mipLabelMetadata">
  <clbl:label id="{4447dd6a-a4a1-440b-a6a3-9124ef1ee017}" enabled="1" method="Privileged" siteId="{7a18110d-ef9b-4274-acef-e62ab0fe28ed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2219</Words>
  <Characters>13319</Characters>
  <Application>Microsoft Office Word</Application>
  <DocSecurity>0</DocSecurity>
  <Lines>110</Lines>
  <Paragraphs>31</Paragraphs>
  <ScaleCrop>false</ScaleCrop>
  <Company/>
  <LinksUpToDate>false</LinksUpToDate>
  <CharactersWithSpaces>15507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Ciok-Pachecka Aleksandra</dc:creator>
  <cp:lastModifiedBy>Pawlicki, Marek            PWR</cp:lastModifiedBy>
  <cp:revision>4</cp:revision>
  <dcterms:created xsi:type="dcterms:W3CDTF">2023-06-15T09:50:00Z</dcterms:created>
  <dcterms:modified xsi:type="dcterms:W3CDTF">2024-10-08T13:35:00Z</dcterms:modified>
</cp:coreProperties>
</file>