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E41C2" w14:textId="77777777" w:rsidR="008475B6" w:rsidRPr="008475B6" w:rsidRDefault="008475B6" w:rsidP="008475B6">
      <w:pPr>
        <w:spacing w:after="0" w:line="288" w:lineRule="auto"/>
        <w:ind w:left="720"/>
        <w:jc w:val="right"/>
        <w:rPr>
          <w:rFonts w:ascii="Arial" w:hAnsi="Arial" w:cs="Arial"/>
          <w:b/>
        </w:rPr>
      </w:pPr>
      <w:r w:rsidRPr="008475B6">
        <w:rPr>
          <w:rFonts w:ascii="Arial" w:hAnsi="Arial" w:cs="Arial"/>
          <w:b/>
        </w:rPr>
        <w:t>Załącznik nr 11 do SWZ</w:t>
      </w:r>
    </w:p>
    <w:p w14:paraId="29E7B739" w14:textId="75264E4B" w:rsidR="00BA6E09" w:rsidRDefault="00BA6E09" w:rsidP="008475B6">
      <w:pPr>
        <w:spacing w:after="120" w:line="288" w:lineRule="auto"/>
        <w:ind w:left="720"/>
        <w:jc w:val="right"/>
        <w:rPr>
          <w:rFonts w:ascii="Arial" w:hAnsi="Arial" w:cs="Arial"/>
          <w:b/>
        </w:rPr>
      </w:pPr>
      <w:r w:rsidRPr="00BA6E09">
        <w:rPr>
          <w:rFonts w:ascii="Arial" w:hAnsi="Arial" w:cs="Arial"/>
          <w:b/>
        </w:rPr>
        <w:t>Znak sprawy - 2024/W100/WUNP-000150</w:t>
      </w:r>
    </w:p>
    <w:p w14:paraId="236859C8" w14:textId="23882868" w:rsidR="0040015D" w:rsidRPr="000527FB" w:rsidRDefault="00E604EC" w:rsidP="000527FB">
      <w:pPr>
        <w:pStyle w:val="Bezodstpw"/>
        <w:numPr>
          <w:ilvl w:val="0"/>
          <w:numId w:val="19"/>
        </w:numPr>
        <w:spacing w:after="120" w:line="288" w:lineRule="auto"/>
        <w:ind w:left="357" w:hanging="357"/>
        <w:rPr>
          <w:rFonts w:ascii="Arial" w:hAnsi="Arial" w:cs="Arial"/>
          <w:b/>
          <w:bCs/>
        </w:rPr>
      </w:pPr>
      <w:r w:rsidRPr="00825441">
        <w:rPr>
          <w:rFonts w:ascii="Arial" w:hAnsi="Arial" w:cs="Arial"/>
          <w:b/>
          <w:bCs/>
        </w:rPr>
        <w:t xml:space="preserve">Wykaz wewnętrznych regulacji obowiązujących w </w:t>
      </w:r>
      <w:r w:rsidR="000527FB">
        <w:rPr>
          <w:rFonts w:ascii="Arial" w:hAnsi="Arial" w:cs="Arial"/>
          <w:b/>
          <w:bCs/>
        </w:rPr>
        <w:t>PSG</w:t>
      </w:r>
      <w:r w:rsidRPr="00825441">
        <w:rPr>
          <w:rFonts w:ascii="Arial" w:hAnsi="Arial" w:cs="Arial"/>
          <w:b/>
          <w:bCs/>
        </w:rPr>
        <w:t xml:space="preserve"> sp. z o.o. dotyczących realizacji przedmiotu zamówienia</w:t>
      </w:r>
    </w:p>
    <w:p w14:paraId="178A3CD0" w14:textId="2D4BC484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Wymagania w zakresie nadzorowania i raportowania dla robót budowlanych realizowanych w ramach Inwestycji Strategicznych oraz pozostałych zadań inwestycyjnych o wartości szacunkowej zamówienia powyżej 10 mln PLN netto</w:t>
      </w:r>
    </w:p>
    <w:p w14:paraId="277388AF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wykonywania inwentaryzacji i waloryzacji przyrodniczej obszaru oddziaływania, sprawowania nadzoru przyrodniczego oraz wykonywania Planu Zadań Ochrony Środowiska dla inwestycji PSG sp. z o.o.</w:t>
      </w:r>
    </w:p>
    <w:p w14:paraId="543AA661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projektowania i budowy ochrony przeciwkorozyjnej stalowych sieci gazowych</w:t>
      </w:r>
    </w:p>
    <w:p w14:paraId="532D05B6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w zakresie wizualizacji stacji, zespołów gazowych oraz naziemnych układów gazowych</w:t>
      </w:r>
    </w:p>
    <w:p w14:paraId="215A26E5" w14:textId="6318012D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organizacji, wykonywania i dokumentowania prac gazoniebezpiecznych w P</w:t>
      </w:r>
      <w:r w:rsidR="001D7F24">
        <w:rPr>
          <w:rFonts w:ascii="Arial" w:hAnsi="Arial" w:cs="Arial"/>
        </w:rPr>
        <w:t xml:space="preserve">olskiej Spółce Gazownictwa </w:t>
      </w:r>
    </w:p>
    <w:p w14:paraId="3DAC4B29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projektowania i budowy stacji gazowych i zespołów gazowych na przyłączu </w:t>
      </w:r>
    </w:p>
    <w:p w14:paraId="2EB85C58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Wymagania techniczne dla gazomierzy inteligentnych stosowanych w PSG </w:t>
      </w:r>
    </w:p>
    <w:p w14:paraId="19C675AC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Realizacja inwestycji i remontów w Polskiej Spółce Gazownictwa sp. z o.o. </w:t>
      </w:r>
    </w:p>
    <w:p w14:paraId="7DD4EB5A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budowy, technologii spajania i napraw stalowych sieci gazowych </w:t>
      </w:r>
    </w:p>
    <w:p w14:paraId="4434B29A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budowy, technologii zgrzewania i napraw polietylenowych sieci gazowych </w:t>
      </w:r>
    </w:p>
    <w:p w14:paraId="36311C59" w14:textId="77A30646" w:rsidR="00461B6E" w:rsidRDefault="0040015D" w:rsidP="008475B6">
      <w:pPr>
        <w:pStyle w:val="Bezodstpw"/>
        <w:numPr>
          <w:ilvl w:val="0"/>
          <w:numId w:val="17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Instrukcja nadzoru spawalniczego w PSG sp. z o.o.</w:t>
      </w:r>
    </w:p>
    <w:p w14:paraId="57DF2FC1" w14:textId="77777777" w:rsidR="008475B6" w:rsidRDefault="008475B6" w:rsidP="008475B6">
      <w:pPr>
        <w:pStyle w:val="Bezodstpw"/>
        <w:spacing w:line="288" w:lineRule="auto"/>
        <w:jc w:val="both"/>
        <w:rPr>
          <w:rFonts w:ascii="Arial" w:hAnsi="Arial" w:cs="Arial"/>
        </w:rPr>
      </w:pPr>
    </w:p>
    <w:p w14:paraId="33157D6E" w14:textId="3FF6745E" w:rsidR="008475B6" w:rsidRPr="008475B6" w:rsidRDefault="008475B6" w:rsidP="008475B6">
      <w:pPr>
        <w:pStyle w:val="Bezodstpw"/>
        <w:spacing w:line="288" w:lineRule="auto"/>
        <w:jc w:val="both"/>
        <w:rPr>
          <w:rFonts w:ascii="Arial" w:hAnsi="Arial" w:cs="Arial"/>
          <w:b/>
          <w:bCs/>
        </w:rPr>
      </w:pPr>
      <w:r w:rsidRPr="008475B6">
        <w:rPr>
          <w:rFonts w:ascii="Arial" w:hAnsi="Arial" w:cs="Arial"/>
          <w:b/>
          <w:bCs/>
        </w:rPr>
        <w:t xml:space="preserve">Powyższe regulacje zawarte </w:t>
      </w:r>
      <w:r>
        <w:rPr>
          <w:rFonts w:ascii="Arial" w:hAnsi="Arial" w:cs="Arial"/>
          <w:b/>
          <w:bCs/>
        </w:rPr>
        <w:t>są</w:t>
      </w:r>
      <w:r w:rsidRPr="008475B6">
        <w:rPr>
          <w:rFonts w:ascii="Arial" w:hAnsi="Arial" w:cs="Arial"/>
          <w:b/>
          <w:bCs/>
        </w:rPr>
        <w:t xml:space="preserve"> w pliku Załącznik nr 2 do OPZ</w:t>
      </w:r>
    </w:p>
    <w:p w14:paraId="0ABF19FA" w14:textId="77777777" w:rsidR="008475B6" w:rsidRPr="0040015D" w:rsidRDefault="008475B6" w:rsidP="00B054C3">
      <w:pPr>
        <w:pStyle w:val="Bezodstpw"/>
        <w:spacing w:after="120" w:line="288" w:lineRule="auto"/>
        <w:ind w:left="357"/>
        <w:jc w:val="both"/>
        <w:rPr>
          <w:rFonts w:ascii="Arial" w:hAnsi="Arial" w:cs="Arial"/>
        </w:rPr>
      </w:pPr>
    </w:p>
    <w:p w14:paraId="444C8754" w14:textId="37CC71B1" w:rsidR="007920D8" w:rsidRPr="000527FB" w:rsidRDefault="00E54731" w:rsidP="000527FB">
      <w:pPr>
        <w:pStyle w:val="Akapitzlist"/>
        <w:numPr>
          <w:ilvl w:val="0"/>
          <w:numId w:val="19"/>
        </w:numPr>
        <w:spacing w:after="120" w:line="288" w:lineRule="auto"/>
        <w:ind w:left="357" w:hanging="357"/>
        <w:contextualSpacing w:val="0"/>
        <w:rPr>
          <w:rFonts w:ascii="Arial" w:hAnsi="Arial" w:cs="Arial"/>
          <w:b/>
          <w:bCs/>
        </w:rPr>
      </w:pPr>
      <w:r w:rsidRPr="000527FB">
        <w:rPr>
          <w:rFonts w:ascii="Arial" w:hAnsi="Arial" w:cs="Arial"/>
          <w:b/>
          <w:bCs/>
        </w:rPr>
        <w:t>Informacje dodatkowe</w:t>
      </w:r>
    </w:p>
    <w:p w14:paraId="74DD1EAC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Wytyczne dotyczące kwalifikowalności 2021-2027 dla projektów realizowanych z Funduszy Europejskich na Infrastrukturę, Klimat i Środowisko 2021-2027, Działanie FE-nIKS.02.03 Infrastruktura energetyczna znajdują się pod linkiem: </w:t>
      </w:r>
      <w:hyperlink r:id="rId7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https://www.feniks.gov.pl/strony/dowiedz-sie-wiecej-o-programie/prawo-i-dokumenty/wytyczne-dotyczace-kwalifikowalnosci-2021-2027/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</w:t>
      </w:r>
    </w:p>
    <w:p w14:paraId="61EEB24E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Wytyczne dotyczące realizacji zasad równościowych w ramach funduszy unijnych na lata 2021-2027 dla projektów realizowanych z Funduszy Europejskich na Infrastrukturę, Klimat i Środowisko 2021-2027, Działanie FE-nIKS.02.03 Infrastruktura energetyczna znajdują się pod linkiem: </w:t>
      </w:r>
      <w:hyperlink r:id="rId8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https://www.feniks.gov.pl/strony/dowiedz-sie-wiecej-o-programie/prawo-i-dokumenty/wytyczne-dotyczace-realizacji-zasad-rownosciowych-w-ramach-funduszy-unijnych-na-lata-2021-2027/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</w:t>
      </w:r>
    </w:p>
    <w:p w14:paraId="1D3B4410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Normy polskie dostępne są w siedzibie i na stronie internetowej Polskiego Komitetu Normalizacyjnego ul. Świętokrzyska 14, 00-050 Warszawa, </w:t>
      </w:r>
      <w:hyperlink r:id="rId9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www.pkn.pl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. </w:t>
      </w:r>
    </w:p>
    <w:p w14:paraId="05AED89B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lastRenderedPageBreak/>
        <w:t xml:space="preserve">Normy zakładowe i standardy techniczne dostępne są w siedzibie i na stronie internetowej Izby Gospodarczej Gazownictwa ul. Kasprzaka 25, 01-224 Warszawa, </w:t>
      </w:r>
      <w:hyperlink r:id="rId10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www.igg.pl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oraz Biblioteki Głównej Akademii Górniczo-Hutniczej im. Stanisława Staszica w Krakowie, al. Mickiewicza 30, 30-059 Kraków, </w:t>
      </w:r>
      <w:hyperlink r:id="rId11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www.bg.agh.edu.pl</w:t>
        </w:r>
      </w:hyperlink>
      <w:r w:rsidRPr="00A87AAB">
        <w:rPr>
          <w:rFonts w:ascii="Arial" w:eastAsia="Times New Roman" w:hAnsi="Arial" w:cs="Arial"/>
          <w:bCs/>
          <w:lang w:eastAsia="pl-PL"/>
        </w:rPr>
        <w:t>.</w:t>
      </w:r>
      <w:bookmarkStart w:id="0" w:name="_Hlk146019087"/>
    </w:p>
    <w:bookmarkEnd w:id="0"/>
    <w:p w14:paraId="1FB86E07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i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Wykonawca jest zobowiązany do zapoznania się i zastosowania w realizacji zamówienia Wymagań dla Wykonawców zewnętrznych, w szczególności Ogólnych Warunków Umów, Ogólnych Wytycznych Dotyczących Ubezpieczeń, wymagań technicznych, procesu inwestycyjnego oraz BHP i Ochrony środowiska, wraz z załącznikami, dostępnych na stronie </w:t>
      </w:r>
      <w:hyperlink r:id="rId12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www.psgaz.pl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w zakładce:</w:t>
      </w:r>
    </w:p>
    <w:p w14:paraId="5D596E4E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techniczne / Regulacje wewnętrzne – Pliki do pobrania</w:t>
      </w:r>
    </w:p>
    <w:p w14:paraId="73C34AB5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procesu inwestycyjnego / Regulacje wewnętrzne – Pliki do pobrania</w:t>
      </w:r>
    </w:p>
    <w:p w14:paraId="3192ABB5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BHP i Ochrony środowiska / Wymagania dla Wykonawców – Pliki do pobrania</w:t>
      </w:r>
    </w:p>
    <w:p w14:paraId="61B10F43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dla Wykonawców / Wymagania Procesu Inwestycyjnego</w:t>
      </w:r>
    </w:p>
    <w:p w14:paraId="7B19C7FA" w14:textId="4C54864D" w:rsidR="00A87AAB" w:rsidRP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Pliki do pobrania</w:t>
      </w:r>
    </w:p>
    <w:p w14:paraId="1EDCF69C" w14:textId="77777777" w:rsidR="00EB4F57" w:rsidRPr="00EB4F57" w:rsidRDefault="00EB4F57" w:rsidP="000527FB">
      <w:pPr>
        <w:shd w:val="clear" w:color="auto" w:fill="FFFFFF"/>
        <w:autoSpaceDE w:val="0"/>
        <w:autoSpaceDN w:val="0"/>
        <w:spacing w:after="120" w:line="288" w:lineRule="auto"/>
        <w:jc w:val="both"/>
        <w:rPr>
          <w:rFonts w:ascii="Arial" w:eastAsia="Times New Roman" w:hAnsi="Arial" w:cs="Arial"/>
          <w:bCs/>
          <w:lang w:eastAsia="pl-PL"/>
        </w:rPr>
      </w:pPr>
      <w:r w:rsidRPr="00EB4F57">
        <w:rPr>
          <w:rFonts w:ascii="Arial" w:eastAsia="Times New Roman" w:hAnsi="Arial" w:cs="Arial"/>
          <w:bCs/>
          <w:lang w:eastAsia="pl-PL"/>
        </w:rPr>
        <w:t>Zamawiający zastrzega, że złożenie oferty jest równoznaczne z zapoznaniem się i akceptacją dokumentów, o których mowa powyżej.</w:t>
      </w:r>
    </w:p>
    <w:p w14:paraId="2E84CC3B" w14:textId="77777777" w:rsidR="00B02EF1" w:rsidRPr="00B02EF1" w:rsidRDefault="00B02EF1" w:rsidP="00B02EF1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sectPr w:rsidR="00B02EF1" w:rsidRPr="00B02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9181B" w14:textId="77777777" w:rsidR="00D23F87" w:rsidRDefault="00D23F87" w:rsidP="00E604EC">
      <w:pPr>
        <w:spacing w:after="0" w:line="240" w:lineRule="auto"/>
      </w:pPr>
      <w:r>
        <w:separator/>
      </w:r>
    </w:p>
  </w:endnote>
  <w:endnote w:type="continuationSeparator" w:id="0">
    <w:p w14:paraId="34450383" w14:textId="77777777" w:rsidR="00D23F87" w:rsidRDefault="00D23F87" w:rsidP="00E6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8BA46" w14:textId="77777777" w:rsidR="00D23F87" w:rsidRDefault="00D23F87" w:rsidP="00E604EC">
      <w:pPr>
        <w:spacing w:after="0" w:line="240" w:lineRule="auto"/>
      </w:pPr>
      <w:r>
        <w:separator/>
      </w:r>
    </w:p>
  </w:footnote>
  <w:footnote w:type="continuationSeparator" w:id="0">
    <w:p w14:paraId="45AA60FE" w14:textId="77777777" w:rsidR="00D23F87" w:rsidRDefault="00D23F87" w:rsidP="00E6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0A39"/>
    <w:multiLevelType w:val="hybridMultilevel"/>
    <w:tmpl w:val="CD70E2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C80892"/>
    <w:multiLevelType w:val="hybridMultilevel"/>
    <w:tmpl w:val="0F105714"/>
    <w:lvl w:ilvl="0" w:tplc="AD9A84F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90796F"/>
    <w:multiLevelType w:val="hybridMultilevel"/>
    <w:tmpl w:val="667C1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A6C5F"/>
    <w:multiLevelType w:val="hybridMultilevel"/>
    <w:tmpl w:val="3236A076"/>
    <w:lvl w:ilvl="0" w:tplc="5D7CD1FA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BEB4F1C"/>
    <w:multiLevelType w:val="hybridMultilevel"/>
    <w:tmpl w:val="AD029118"/>
    <w:lvl w:ilvl="0" w:tplc="82DCA4E0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221D652D"/>
    <w:multiLevelType w:val="hybridMultilevel"/>
    <w:tmpl w:val="690E9EE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3A4B041B"/>
    <w:multiLevelType w:val="hybridMultilevel"/>
    <w:tmpl w:val="26004D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AA33C0"/>
    <w:multiLevelType w:val="hybridMultilevel"/>
    <w:tmpl w:val="F2B0F91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65489"/>
    <w:multiLevelType w:val="hybridMultilevel"/>
    <w:tmpl w:val="9EF803BA"/>
    <w:lvl w:ilvl="0" w:tplc="82DCA4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27C1D4E"/>
    <w:multiLevelType w:val="hybridMultilevel"/>
    <w:tmpl w:val="D710244A"/>
    <w:lvl w:ilvl="0" w:tplc="CF6AD1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8B6AE7"/>
    <w:multiLevelType w:val="hybridMultilevel"/>
    <w:tmpl w:val="D3EE07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2319EF"/>
    <w:multiLevelType w:val="hybridMultilevel"/>
    <w:tmpl w:val="33B650C4"/>
    <w:lvl w:ilvl="0" w:tplc="82DC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12672"/>
    <w:multiLevelType w:val="hybridMultilevel"/>
    <w:tmpl w:val="26DE6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C40C1"/>
    <w:multiLevelType w:val="hybridMultilevel"/>
    <w:tmpl w:val="DE367696"/>
    <w:lvl w:ilvl="0" w:tplc="E39C9BFE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48874C0"/>
    <w:multiLevelType w:val="hybridMultilevel"/>
    <w:tmpl w:val="8C4A7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F5643"/>
    <w:multiLevelType w:val="hybridMultilevel"/>
    <w:tmpl w:val="DE2CF24C"/>
    <w:lvl w:ilvl="0" w:tplc="4E5A57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52229D"/>
    <w:multiLevelType w:val="hybridMultilevel"/>
    <w:tmpl w:val="38D010C6"/>
    <w:lvl w:ilvl="0" w:tplc="57B2987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1393C"/>
    <w:multiLevelType w:val="hybridMultilevel"/>
    <w:tmpl w:val="8BF264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687FB2"/>
    <w:multiLevelType w:val="hybridMultilevel"/>
    <w:tmpl w:val="F30C9A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9343432">
    <w:abstractNumId w:val="6"/>
  </w:num>
  <w:num w:numId="2" w16cid:durableId="1567061968">
    <w:abstractNumId w:val="0"/>
  </w:num>
  <w:num w:numId="3" w16cid:durableId="33192368">
    <w:abstractNumId w:val="9"/>
  </w:num>
  <w:num w:numId="4" w16cid:durableId="227419503">
    <w:abstractNumId w:val="1"/>
  </w:num>
  <w:num w:numId="5" w16cid:durableId="649482172">
    <w:abstractNumId w:val="15"/>
  </w:num>
  <w:num w:numId="6" w16cid:durableId="1960911725">
    <w:abstractNumId w:val="11"/>
  </w:num>
  <w:num w:numId="7" w16cid:durableId="1742022538">
    <w:abstractNumId w:val="16"/>
  </w:num>
  <w:num w:numId="8" w16cid:durableId="596792960">
    <w:abstractNumId w:val="8"/>
  </w:num>
  <w:num w:numId="9" w16cid:durableId="1715614587">
    <w:abstractNumId w:val="17"/>
  </w:num>
  <w:num w:numId="10" w16cid:durableId="1476097710">
    <w:abstractNumId w:val="3"/>
  </w:num>
  <w:num w:numId="11" w16cid:durableId="465468608">
    <w:abstractNumId w:val="5"/>
  </w:num>
  <w:num w:numId="12" w16cid:durableId="797770550">
    <w:abstractNumId w:val="12"/>
  </w:num>
  <w:num w:numId="13" w16cid:durableId="1925529803">
    <w:abstractNumId w:val="14"/>
  </w:num>
  <w:num w:numId="14" w16cid:durableId="1822651616">
    <w:abstractNumId w:val="4"/>
  </w:num>
  <w:num w:numId="15" w16cid:durableId="824665700">
    <w:abstractNumId w:val="10"/>
  </w:num>
  <w:num w:numId="16" w16cid:durableId="1964724550">
    <w:abstractNumId w:val="2"/>
  </w:num>
  <w:num w:numId="17" w16cid:durableId="1467315827">
    <w:abstractNumId w:val="18"/>
  </w:num>
  <w:num w:numId="18" w16cid:durableId="860895520">
    <w:abstractNumId w:val="7"/>
  </w:num>
  <w:num w:numId="19" w16cid:durableId="12622997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C7E"/>
    <w:rsid w:val="00006DB9"/>
    <w:rsid w:val="000527FB"/>
    <w:rsid w:val="000A1152"/>
    <w:rsid w:val="00122BD8"/>
    <w:rsid w:val="001B2ECD"/>
    <w:rsid w:val="001D284E"/>
    <w:rsid w:val="001D7F24"/>
    <w:rsid w:val="001E6EB0"/>
    <w:rsid w:val="002E1123"/>
    <w:rsid w:val="003144F7"/>
    <w:rsid w:val="0040015D"/>
    <w:rsid w:val="00461B6E"/>
    <w:rsid w:val="00531B70"/>
    <w:rsid w:val="005779EA"/>
    <w:rsid w:val="00592879"/>
    <w:rsid w:val="006036BB"/>
    <w:rsid w:val="0061005B"/>
    <w:rsid w:val="00681B15"/>
    <w:rsid w:val="00682E2D"/>
    <w:rsid w:val="00694F15"/>
    <w:rsid w:val="00707C7E"/>
    <w:rsid w:val="00715E77"/>
    <w:rsid w:val="007449E9"/>
    <w:rsid w:val="007734AB"/>
    <w:rsid w:val="007920D8"/>
    <w:rsid w:val="007A0E61"/>
    <w:rsid w:val="007E1FCA"/>
    <w:rsid w:val="00825441"/>
    <w:rsid w:val="0083098B"/>
    <w:rsid w:val="0084285D"/>
    <w:rsid w:val="008475B6"/>
    <w:rsid w:val="00880502"/>
    <w:rsid w:val="00952507"/>
    <w:rsid w:val="00953E05"/>
    <w:rsid w:val="009E62FD"/>
    <w:rsid w:val="00A0612C"/>
    <w:rsid w:val="00A87AAB"/>
    <w:rsid w:val="00B02EF1"/>
    <w:rsid w:val="00B054C3"/>
    <w:rsid w:val="00B60727"/>
    <w:rsid w:val="00B94154"/>
    <w:rsid w:val="00BA6E09"/>
    <w:rsid w:val="00C1128A"/>
    <w:rsid w:val="00C21450"/>
    <w:rsid w:val="00C21AC3"/>
    <w:rsid w:val="00C3100B"/>
    <w:rsid w:val="00C66F11"/>
    <w:rsid w:val="00C953B7"/>
    <w:rsid w:val="00D0282E"/>
    <w:rsid w:val="00D23F87"/>
    <w:rsid w:val="00D52B45"/>
    <w:rsid w:val="00D95E1D"/>
    <w:rsid w:val="00DA206A"/>
    <w:rsid w:val="00DA558B"/>
    <w:rsid w:val="00DC3164"/>
    <w:rsid w:val="00E41EAD"/>
    <w:rsid w:val="00E54731"/>
    <w:rsid w:val="00E604EC"/>
    <w:rsid w:val="00EB4F57"/>
    <w:rsid w:val="00EC402A"/>
    <w:rsid w:val="00F42AAC"/>
    <w:rsid w:val="00FA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523BC"/>
  <w15:chartTrackingRefBased/>
  <w15:docId w15:val="{740B473B-B58B-4951-96CD-342B5C31D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4EC"/>
    <w:pPr>
      <w:ind w:left="720"/>
      <w:contextualSpacing/>
    </w:pPr>
  </w:style>
  <w:style w:type="paragraph" w:styleId="Bezodstpw">
    <w:name w:val="No Spacing"/>
    <w:uiPriority w:val="1"/>
    <w:qFormat/>
    <w:rsid w:val="00E604E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547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473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61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920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20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20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0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0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6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niks.gov.pl/strony/dowiedz-sie-wiecej-o-programie/prawo-i-dokumenty/wytyczne-dotyczace-realizacji-zasad-rownosciowych-w-ramach-funduszy-unijnych-na-lata-2021-2027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eniks.gov.pl/strony/dowiedz-sie-wiecej-o-programie/prawo-i-dokumenty/wytyczne-dotyczace-kwalifikowalnosci-2021-2027/" TargetMode="External"/><Relationship Id="rId12" Type="http://schemas.openxmlformats.org/officeDocument/2006/relationships/hyperlink" Target="http://www.psga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g.agh.edu.p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ig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k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568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Michalina</dc:creator>
  <cp:keywords/>
  <dc:description/>
  <cp:lastModifiedBy>Faliński Krzysztof (PSG)</cp:lastModifiedBy>
  <cp:revision>24</cp:revision>
  <dcterms:created xsi:type="dcterms:W3CDTF">2023-09-11T12:22:00Z</dcterms:created>
  <dcterms:modified xsi:type="dcterms:W3CDTF">2024-04-19T09:16:00Z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2022-06-23T06:45:42Z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2cc6ce9c-ac2b-439e-a650-4ba80c119858</vt:lpwstr>
  </property>
  <property fmtid="{D5CDD505-2E9C-101B-9397-08002B2CF9AE}" pid="8" name="MSIP_Label_873bfdf7-b3d6-42a7-9f35-f649f45df770_ContentBits">
    <vt:lpwstr>0</vt:lpwstr>
  </property>
</Properties>
</file>