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77777777" w:rsidR="001C510D" w:rsidRPr="00366ED0" w:rsidRDefault="00D708BB">
      <w:pPr>
        <w:pStyle w:val="Akapitzlist"/>
        <w:autoSpaceDE w:val="0"/>
        <w:spacing w:after="0" w:line="240" w:lineRule="auto"/>
        <w:rPr>
          <w:rFonts w:cs="Calibri"/>
          <w:sz w:val="20"/>
          <w:szCs w:val="20"/>
          <w:u w:val="single"/>
        </w:rPr>
      </w:pPr>
      <w:r w:rsidRPr="00366ED0">
        <w:rPr>
          <w:rFonts w:cs="Calibri"/>
          <w:sz w:val="20"/>
          <w:szCs w:val="20"/>
          <w:u w:val="single"/>
        </w:rPr>
        <w:t>Kosztorys ofertowy stanowi załącznik nr 1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zobowiązuje się do wykonania przedmiotu zamówienia zgodnie z obowiązującymi zasadami sztuki budowlanej i wiedzy technicznej, obowiązującymi przepisami prawa w szczególności techniczno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lastRenderedPageBreak/>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lastRenderedPageBreak/>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77777777"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Wykonawca udziela ……………………… - letniej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76C43B44"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Wykonawca udziela ………………. - letniej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2C24D4AA" w:rsidR="001C510D" w:rsidRPr="00366ED0" w:rsidRDefault="00164F2D">
      <w:pPr>
        <w:numPr>
          <w:ilvl w:val="0"/>
          <w:numId w:val="13"/>
        </w:numPr>
        <w:spacing w:after="0" w:line="240" w:lineRule="auto"/>
        <w:jc w:val="both"/>
        <w:rPr>
          <w:rFonts w:cs="Calibri"/>
          <w:sz w:val="20"/>
          <w:szCs w:val="20"/>
        </w:rPr>
      </w:pPr>
      <w:r>
        <w:rPr>
          <w:rFonts w:cs="Calibri"/>
          <w:sz w:val="20"/>
          <w:szCs w:val="20"/>
        </w:rPr>
        <w:t>5</w:t>
      </w:r>
      <w:r w:rsidR="00D708BB" w:rsidRPr="00366ED0">
        <w:rPr>
          <w:rFonts w:cs="Calibri"/>
          <w:sz w:val="20"/>
          <w:szCs w:val="20"/>
        </w:rPr>
        <w:t xml:space="preserve">0% zabezpieczenia zwolnione będzie 7 dni po przeprowadzeniu odbioru końcowego i usunięciu ewentualnych usterek, pozostałe </w:t>
      </w:r>
      <w:r>
        <w:rPr>
          <w:rFonts w:cs="Calibri"/>
          <w:sz w:val="20"/>
          <w:szCs w:val="20"/>
        </w:rPr>
        <w:t>5</w:t>
      </w:r>
      <w:r w:rsidR="00D708BB" w:rsidRPr="00366ED0">
        <w:rPr>
          <w:rFonts w:cs="Calibri"/>
          <w:sz w:val="20"/>
          <w:szCs w:val="20"/>
        </w:rPr>
        <w:t>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 przypadku określonym w pkt. 2 ppkt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 xml:space="preserve">lub których strony przy zachowaniu należytej staranności nie były w stanie uniknąć lub przewidzieć. Za siłę wyższą uważa się zdarzenia zewnętrzne, którego skutków nie da się przewidzieć ani im zapobiec. W szczególności za siłę wyższą będzie się uważać działanie sił przyrody, takie jak huragan, trzęsienie ziemi, powódź oraz inne zdarzenia takie </w:t>
      </w:r>
      <w:r w:rsidRPr="00366ED0">
        <w:rPr>
          <w:rFonts w:cs="Calibri"/>
          <w:sz w:val="20"/>
          <w:szCs w:val="20"/>
        </w:rPr>
        <w:lastRenderedPageBreak/>
        <w:t>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Załącznik nr 3 </w:t>
      </w:r>
      <w:r w:rsidR="00366ED0" w:rsidRPr="00366ED0">
        <w:rPr>
          <w:rFonts w:ascii="Calibri" w:hAnsi="Calibri" w:cs="Calibri"/>
          <w:sz w:val="20"/>
          <w:szCs w:val="20"/>
          <w:lang w:val="pl-PL"/>
        </w:rPr>
        <w:t>KARTA GWARANCYJNA 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42012" w14:textId="77777777" w:rsidR="0073075E" w:rsidRDefault="0073075E">
      <w:pPr>
        <w:spacing w:after="0" w:line="240" w:lineRule="auto"/>
      </w:pPr>
      <w:r>
        <w:separator/>
      </w:r>
    </w:p>
  </w:endnote>
  <w:endnote w:type="continuationSeparator" w:id="0">
    <w:p w14:paraId="1650464E" w14:textId="77777777" w:rsidR="0073075E" w:rsidRDefault="0073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48FA6" w14:textId="77777777" w:rsidR="0073075E" w:rsidRDefault="0073075E">
      <w:pPr>
        <w:spacing w:after="0" w:line="240" w:lineRule="auto"/>
      </w:pPr>
      <w:r>
        <w:rPr>
          <w:color w:val="000000"/>
        </w:rPr>
        <w:separator/>
      </w:r>
    </w:p>
  </w:footnote>
  <w:footnote w:type="continuationSeparator" w:id="0">
    <w:p w14:paraId="21828F43" w14:textId="77777777" w:rsidR="0073075E" w:rsidRDefault="0073075E">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77777777" w:rsidR="001C510D" w:rsidRDefault="00D708BB">
      <w:pPr>
        <w:pStyle w:val="Tekstprzypisudolnego"/>
      </w:pPr>
      <w:r>
        <w:rPr>
          <w:rStyle w:val="Odwoanieprzypisudolnego"/>
        </w:rPr>
        <w:footnoteRef/>
      </w:r>
      <w:r>
        <w:t xml:space="preserve"> Gwarancja bankowa; gwarancja ubezpieczeniowa; kaucja gwarancyjna (wpłacenie przez wykonawcę określonej sumy pieniężnej na konto inwestora, tj. 5% z każdej faktury, przed dokonaniem przelewu przez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164F2D">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3.05pt;height:62.15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64F2D"/>
    <w:rsid w:val="001C510D"/>
    <w:rsid w:val="00233797"/>
    <w:rsid w:val="002C1BF4"/>
    <w:rsid w:val="002D3071"/>
    <w:rsid w:val="00366ED0"/>
    <w:rsid w:val="00386255"/>
    <w:rsid w:val="004C745D"/>
    <w:rsid w:val="0073075E"/>
    <w:rsid w:val="009A1C82"/>
    <w:rsid w:val="00A3105F"/>
    <w:rsid w:val="00A35D9A"/>
    <w:rsid w:val="00A66C20"/>
    <w:rsid w:val="00B36487"/>
    <w:rsid w:val="00B813FC"/>
    <w:rsid w:val="00CC79C0"/>
    <w:rsid w:val="00D242CA"/>
    <w:rsid w:val="00D708BB"/>
    <w:rsid w:val="00DC163C"/>
    <w:rsid w:val="00DE42B4"/>
    <w:rsid w:val="00F820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2445</Words>
  <Characters>14670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3</cp:revision>
  <cp:lastPrinted>2024-05-16T11:20:00Z</cp:lastPrinted>
  <dcterms:created xsi:type="dcterms:W3CDTF">2024-08-27T10:14:00Z</dcterms:created>
  <dcterms:modified xsi:type="dcterms:W3CDTF">2024-11-23T13:14:00Z</dcterms:modified>
</cp:coreProperties>
</file>