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C387C39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SPECYFIKACJA ZAMÓWIENIA</w:t>
      </w:r>
    </w:p>
    <w:p w14:paraId="3E024889">
      <w:pPr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Nr: SzNM4/1/2024</w:t>
      </w:r>
    </w:p>
    <w:p w14:paraId="78A58197">
      <w:pPr>
        <w:spacing w:after="0" w:line="240" w:lineRule="auto"/>
      </w:pPr>
    </w:p>
    <w:p w14:paraId="00696530">
      <w:pPr>
        <w:pStyle w:val="2"/>
        <w:spacing w:line="240" w:lineRule="auto"/>
        <w:jc w:val="both"/>
        <w:rPr>
          <w:rFonts w:ascii="Calibri" w:hAnsi="Calibri" w:eastAsia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>Zapytanie dotyczące zakupu i dostawy wiertarek, wiertarko-frezarek i elektrodrążarki do warsztatu szkolnego w ramach projektu:</w:t>
      </w:r>
      <w:r>
        <w:rPr>
          <w:rFonts w:ascii="Calibri" w:hAnsi="Calibri" w:cs="Calibri"/>
          <w:sz w:val="22"/>
          <w:szCs w:val="22"/>
        </w:rPr>
        <w:t xml:space="preserve"> „Szkoła Nowych Możliwości 4”</w:t>
      </w:r>
      <w:r>
        <w:rPr>
          <w:rFonts w:ascii="Calibri" w:hAnsi="Calibri" w:cs="Calibri"/>
          <w:b w:val="0"/>
          <w:sz w:val="22"/>
          <w:szCs w:val="22"/>
        </w:rPr>
        <w:t xml:space="preserve">, </w:t>
      </w:r>
      <w:r>
        <w:rPr>
          <w:rFonts w:ascii="Calibri" w:hAnsi="Calibri" w:eastAsia="Calibri" w:cs="Calibri"/>
          <w:b w:val="0"/>
          <w:sz w:val="22"/>
          <w:szCs w:val="22"/>
        </w:rPr>
        <w:t>realizowanego w ramach: Priorytetu 8 Fundusze europejskie na wsparcie w obszarze rynku pracy, edukacji i włączenia społecznego, Działania 08.17 Kształcenie zawodowe.</w:t>
      </w:r>
    </w:p>
    <w:p w14:paraId="665B8221">
      <w:pPr>
        <w:spacing w:after="0" w:line="240" w:lineRule="auto"/>
        <w:ind w:left="-6" w:right="40"/>
        <w:jc w:val="both"/>
      </w:pPr>
      <w:r>
        <w:rPr>
          <w:rFonts w:cs="Calibri"/>
        </w:rPr>
        <w:t>Procedura prowadzona jest zgodnie z</w:t>
      </w:r>
      <w:r>
        <w:rPr>
          <w:rFonts w:eastAsia="Calibri" w:cs="Calibri"/>
          <w:i/>
        </w:rPr>
        <w:t xml:space="preserve"> </w:t>
      </w:r>
      <w:r>
        <w:rPr>
          <w:rFonts w:eastAsia="Calibri" w:cs="Calibri"/>
        </w:rPr>
        <w:t xml:space="preserve">dokumentem </w:t>
      </w:r>
      <w:r>
        <w:rPr>
          <w:rFonts w:eastAsia="Calibri" w:cs="Calibri"/>
          <w:i/>
        </w:rPr>
        <w:t>„</w:t>
      </w:r>
      <w:r>
        <w:rPr>
          <w:rFonts w:cs="Calibri"/>
        </w:rPr>
        <w:t>Wytyczne dotyczące kwalifikowalności wydatków na lata 2021-2027”.</w:t>
      </w:r>
    </w:p>
    <w:p w14:paraId="5F9C25D2">
      <w:pPr>
        <w:pStyle w:val="3"/>
        <w:spacing w:before="0" w:line="240" w:lineRule="auto"/>
        <w:rPr>
          <w:rFonts w:ascii="Calibri" w:hAnsi="Calibri" w:cs="Calibri"/>
          <w:b/>
          <w:color w:val="FF0000"/>
          <w:sz w:val="22"/>
          <w:u w:val="single"/>
        </w:rPr>
      </w:pPr>
    </w:p>
    <w:p w14:paraId="0463DEDB">
      <w:pPr>
        <w:pStyle w:val="3"/>
        <w:spacing w:before="0" w:line="240" w:lineRule="auto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u w:val="single"/>
        </w:rPr>
        <w:t xml:space="preserve">Informacje ogólne </w:t>
      </w:r>
    </w:p>
    <w:p w14:paraId="06692AD0">
      <w:pPr>
        <w:spacing w:after="0" w:line="240" w:lineRule="auto"/>
        <w:ind w:left="-5"/>
        <w:rPr>
          <w:rFonts w:eastAsia="Calibri" w:cs="Calibri"/>
          <w:b/>
        </w:rPr>
      </w:pPr>
    </w:p>
    <w:p w14:paraId="0B9C2A55">
      <w:pPr>
        <w:spacing w:after="0" w:line="240" w:lineRule="auto"/>
        <w:ind w:left="-5"/>
      </w:pPr>
      <w:r>
        <w:rPr>
          <w:rFonts w:eastAsia="Calibri" w:cs="Calibri"/>
          <w:b/>
        </w:rPr>
        <w:t xml:space="preserve">Zamawiający: </w:t>
      </w:r>
    </w:p>
    <w:p w14:paraId="0110BE46">
      <w:pPr>
        <w:spacing w:after="0" w:line="240" w:lineRule="auto"/>
        <w:ind w:left="-6" w:right="40"/>
      </w:pPr>
      <w:r>
        <w:rPr>
          <w:rFonts w:cs="Calibri"/>
        </w:rPr>
        <w:t>Zakład Doskonalenia Zawodowego</w:t>
      </w:r>
    </w:p>
    <w:p w14:paraId="7A602A2A">
      <w:pPr>
        <w:spacing w:after="0" w:line="240" w:lineRule="auto"/>
        <w:ind w:left="-6" w:right="40"/>
      </w:pPr>
      <w:r>
        <w:rPr>
          <w:rFonts w:cs="Calibri"/>
        </w:rPr>
        <w:t>ul. Żółkiewskiego 37/41</w:t>
      </w:r>
    </w:p>
    <w:p w14:paraId="563E89F0">
      <w:pPr>
        <w:spacing w:after="0" w:line="240" w:lineRule="auto"/>
        <w:ind w:left="-6" w:right="40"/>
      </w:pPr>
      <w:r>
        <w:rPr>
          <w:rFonts w:cs="Calibri"/>
        </w:rPr>
        <w:t>87-100 Toruń</w:t>
      </w:r>
    </w:p>
    <w:p w14:paraId="383EAB28">
      <w:pPr>
        <w:spacing w:after="0" w:line="240" w:lineRule="auto"/>
        <w:ind w:left="-6" w:right="40"/>
      </w:pPr>
      <w:r>
        <w:rPr>
          <w:rFonts w:cs="Calibri"/>
        </w:rPr>
        <w:t>NIP: 879-016-90-15, REGON: 000512496</w:t>
      </w:r>
    </w:p>
    <w:p w14:paraId="5738F7BE">
      <w:pPr>
        <w:spacing w:after="0" w:line="240" w:lineRule="auto"/>
        <w:rPr>
          <w:rFonts w:cs="Calibri"/>
          <w:color w:val="FF0000"/>
        </w:rPr>
      </w:pPr>
    </w:p>
    <w:p w14:paraId="3F85288A">
      <w:pPr>
        <w:spacing w:after="0" w:line="240" w:lineRule="auto"/>
        <w:ind w:left="-5"/>
      </w:pPr>
      <w:r>
        <w:rPr>
          <w:rFonts w:eastAsia="Calibri" w:cs="Calibri"/>
          <w:b/>
        </w:rPr>
        <w:t>Data publikacji:</w:t>
      </w:r>
      <w:r>
        <w:rPr>
          <w:rFonts w:cs="Calibri"/>
        </w:rPr>
        <w:t xml:space="preserve"> 1</w:t>
      </w:r>
      <w:r>
        <w:rPr>
          <w:rFonts w:hint="default" w:cs="Calibri"/>
          <w:lang w:val="pl-PL"/>
        </w:rPr>
        <w:t>5</w:t>
      </w:r>
      <w:r>
        <w:rPr>
          <w:rFonts w:cs="Calibri"/>
        </w:rPr>
        <w:t>.11.2024 r.</w:t>
      </w:r>
    </w:p>
    <w:p w14:paraId="7270FAEA">
      <w:pPr>
        <w:spacing w:after="0" w:line="240" w:lineRule="auto"/>
        <w:ind w:left="-5"/>
        <w:rPr>
          <w:vertAlign w:val="superscript"/>
        </w:rPr>
      </w:pPr>
      <w:r>
        <w:rPr>
          <w:rFonts w:eastAsia="Calibri" w:cs="Calibri"/>
          <w:b/>
        </w:rPr>
        <w:t>Termin składania ofert:</w:t>
      </w:r>
      <w:r>
        <w:rPr>
          <w:rFonts w:cs="Calibri"/>
        </w:rPr>
        <w:t xml:space="preserve"> 2</w:t>
      </w:r>
      <w:r>
        <w:rPr>
          <w:rFonts w:hint="default" w:cs="Calibri"/>
          <w:lang w:val="pl-PL"/>
        </w:rPr>
        <w:t>5</w:t>
      </w:r>
      <w:r>
        <w:rPr>
          <w:rFonts w:cs="Calibri"/>
        </w:rPr>
        <w:t>.11.2024 r. (godzina 9.00)</w:t>
      </w:r>
    </w:p>
    <w:p w14:paraId="7356D977">
      <w:pPr>
        <w:spacing w:after="0" w:line="240" w:lineRule="auto"/>
        <w:ind w:left="-5" w:right="42"/>
        <w:jc w:val="both"/>
        <w:rPr>
          <w:rFonts w:cs="Calibri"/>
          <w:color w:val="FF0000"/>
        </w:rPr>
      </w:pPr>
    </w:p>
    <w:p w14:paraId="65E1B12D">
      <w:pPr>
        <w:spacing w:after="0" w:line="240" w:lineRule="auto"/>
        <w:ind w:left="-5" w:right="42"/>
        <w:jc w:val="both"/>
      </w:pPr>
      <w:r>
        <w:rPr>
          <w:rFonts w:cs="Calibri"/>
        </w:rPr>
        <w:t xml:space="preserve">W związku z realizacją projektu „Szkoła Nowych Możliwości 4” zwracamy się z prośbą </w:t>
      </w:r>
      <w:r>
        <w:rPr>
          <w:rFonts w:cs="Calibri"/>
        </w:rPr>
        <w:br w:type="textWrapping"/>
      </w:r>
      <w:r>
        <w:rPr>
          <w:rFonts w:cs="Calibri"/>
        </w:rPr>
        <w:t>o przedstawienie oferty dotyczącej zakupu i dostawy wiertarek, wiertarko-frezarek i elektrodrążarki do warsztatu szkolnego.</w:t>
      </w:r>
    </w:p>
    <w:p w14:paraId="1E56EA6F">
      <w:pPr>
        <w:spacing w:after="0" w:line="240" w:lineRule="auto"/>
        <w:jc w:val="both"/>
        <w:rPr>
          <w:rFonts w:cs="Calibri"/>
          <w:color w:val="FF0000"/>
        </w:rPr>
      </w:pPr>
    </w:p>
    <w:p w14:paraId="076C6B0F">
      <w:pPr>
        <w:spacing w:after="0" w:line="240" w:lineRule="auto"/>
        <w:ind w:left="-5"/>
      </w:pPr>
      <w:r>
        <w:rPr>
          <w:rFonts w:eastAsia="Calibri" w:cs="Calibri"/>
          <w:b/>
        </w:rPr>
        <w:t xml:space="preserve">Tryb udzielenia zamówienia </w:t>
      </w:r>
      <w:r>
        <w:rPr>
          <w:rFonts w:cs="Calibri"/>
        </w:rPr>
        <w:t xml:space="preserve"> </w:t>
      </w:r>
    </w:p>
    <w:p w14:paraId="6553E3E8">
      <w:pPr>
        <w:spacing w:after="0" w:line="240" w:lineRule="auto"/>
        <w:ind w:left="-5" w:right="42"/>
        <w:jc w:val="both"/>
        <w:rPr>
          <w:rFonts w:cs="Calibri"/>
        </w:rPr>
      </w:pPr>
      <w:r>
        <w:rPr>
          <w:rFonts w:cs="Calibri"/>
        </w:rPr>
        <w:t xml:space="preserve">Zamówienie powyżej 50 tys. PLN netto udzielone jest zgodnie z zasadą konkurencyjności i nie podlega przepisom ustawy Prawo Zamówień Publicznych. Niniejsze zapytanie jest dostępne na stronie internetowej: </w:t>
      </w:r>
      <w:r>
        <w:rPr>
          <w:rFonts w:cs="Calibri"/>
          <w:u w:color="0000FF"/>
        </w:rPr>
        <w:t>https://www.bazakonkurencyjnosci.funduszeeuropejskie.gov.pl</w:t>
      </w:r>
      <w:r>
        <w:rPr>
          <w:rFonts w:cs="Calibri"/>
        </w:rPr>
        <w:t xml:space="preserve"> </w:t>
      </w:r>
    </w:p>
    <w:p w14:paraId="5E5B23BB">
      <w:pPr>
        <w:spacing w:after="0" w:line="240" w:lineRule="auto"/>
        <w:ind w:right="42"/>
        <w:jc w:val="both"/>
      </w:pPr>
      <w:r>
        <w:rPr>
          <w:rFonts w:cs="Calibri"/>
        </w:rPr>
        <w:t xml:space="preserve">Zamawiający zastrzega sobie prawo do zmiany treści niniejszego zapytania do upływu terminu składania ofert. Jeżeli zmiany będą mogły mieć wpływ na treść składanych ofert, Zamawiający przedłuży termin składania ofert. </w:t>
      </w:r>
    </w:p>
    <w:p w14:paraId="69769EB6">
      <w:pPr>
        <w:pStyle w:val="3"/>
        <w:spacing w:before="0" w:line="240" w:lineRule="auto"/>
        <w:rPr>
          <w:rFonts w:ascii="Calibri" w:hAnsi="Calibri" w:cs="Calibri"/>
          <w:b/>
          <w:color w:val="auto"/>
          <w:sz w:val="22"/>
          <w:u w:val="single"/>
        </w:rPr>
      </w:pPr>
    </w:p>
    <w:p w14:paraId="06B3ADE6">
      <w:pPr>
        <w:pStyle w:val="3"/>
        <w:spacing w:before="0" w:line="240" w:lineRule="auto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u w:val="single"/>
        </w:rPr>
        <w:t>Opis przedmiotu zamówienia:</w:t>
      </w:r>
    </w:p>
    <w:p w14:paraId="3622F4BF">
      <w:pPr>
        <w:spacing w:after="0" w:line="240" w:lineRule="auto"/>
        <w:rPr>
          <w:color w:val="FF0000"/>
        </w:rPr>
      </w:pPr>
      <w:r>
        <w:rPr>
          <w:rFonts w:eastAsia="Calibri" w:cs="Calibri"/>
          <w:b/>
          <w:color w:val="FF0000"/>
        </w:rPr>
        <w:t xml:space="preserve"> </w:t>
      </w:r>
    </w:p>
    <w:p w14:paraId="761412F5">
      <w:pPr>
        <w:spacing w:after="0"/>
        <w:ind w:left="-5" w:right="1344"/>
        <w:rPr>
          <w:rFonts w:cs="Calibri"/>
        </w:rPr>
      </w:pPr>
      <w:r>
        <w:rPr>
          <w:rFonts w:eastAsia="Calibri" w:cs="Calibri"/>
          <w:b/>
        </w:rPr>
        <w:t>Rodzaj i przedmiot zamówienia zgodnie ze Wspólnym Słownikiem Zamówień CPV</w:t>
      </w:r>
      <w:r>
        <w:rPr>
          <w:rFonts w:cs="Calibri"/>
        </w:rPr>
        <w:t xml:space="preserve"> </w:t>
      </w:r>
    </w:p>
    <w:p w14:paraId="7B283D75">
      <w:pPr>
        <w:spacing w:after="0"/>
        <w:ind w:left="-5" w:right="1344"/>
        <w:rPr>
          <w:rFonts w:cs="Calibri"/>
        </w:rPr>
      </w:pPr>
      <w:r>
        <w:rPr>
          <w:rFonts w:cs="Calibri"/>
        </w:rPr>
        <w:t>42600000-2 – obrabiarki</w:t>
      </w:r>
    </w:p>
    <w:p w14:paraId="51CAA677">
      <w:pPr>
        <w:spacing w:after="0"/>
        <w:ind w:left="-5" w:right="1344"/>
        <w:rPr>
          <w:rFonts w:cs="Calibri"/>
          <w:color w:val="FF0000"/>
        </w:rPr>
      </w:pPr>
    </w:p>
    <w:p w14:paraId="666111E6">
      <w:pPr>
        <w:spacing w:after="0"/>
        <w:jc w:val="both"/>
        <w:rPr>
          <w:rFonts w:cs="Calibri"/>
        </w:rPr>
      </w:pPr>
      <w:r>
        <w:rPr>
          <w:rFonts w:cs="Calibri"/>
        </w:rPr>
        <w:t>Miejsce realizacji zamówienia (dostawy): ul. Żółkiewskiego 37/41, 87-100 Toruń, województwo kujawsko-pomorskie.</w:t>
      </w:r>
    </w:p>
    <w:p w14:paraId="34F88942">
      <w:pPr>
        <w:spacing w:after="0"/>
        <w:jc w:val="both"/>
        <w:rPr>
          <w:u w:val="single"/>
        </w:rPr>
      </w:pPr>
      <w:r>
        <w:rPr>
          <w:rFonts w:cs="Calibri"/>
          <w:u w:val="single"/>
        </w:rPr>
        <w:t>Cena musi obejmować koszt zakupu i dostawy wiertarek, wiertarko-frezarek i elektrodrążarki do warsztatu szkolnego przy ul. Żółkiewskiego 37/41, 87-100 Toruń.</w:t>
      </w:r>
    </w:p>
    <w:p w14:paraId="3DB6879D">
      <w:pPr>
        <w:spacing w:after="0"/>
        <w:rPr>
          <w:rFonts w:cs="Calibri"/>
          <w:color w:val="FF0000"/>
        </w:rPr>
      </w:pPr>
    </w:p>
    <w:p w14:paraId="1E7D5553">
      <w:pPr>
        <w:spacing w:after="0"/>
      </w:pPr>
      <w:r>
        <w:rPr>
          <w:rFonts w:cs="Calibri"/>
        </w:rPr>
        <w:t>Przedmiot zamówienia:</w:t>
      </w:r>
    </w:p>
    <w:p w14:paraId="493F08F9">
      <w:pPr>
        <w:spacing w:after="0"/>
        <w:rPr>
          <w:rFonts w:cs="Calibri"/>
        </w:rPr>
      </w:pPr>
      <w:r>
        <w:rPr>
          <w:rFonts w:cs="Calibri"/>
        </w:rPr>
        <w:t>Zadanie 1 – zakup i dostawa wiertarki promieniowej</w:t>
      </w:r>
    </w:p>
    <w:p w14:paraId="12481EAA">
      <w:pPr>
        <w:spacing w:after="0"/>
        <w:rPr>
          <w:rFonts w:cs="Calibri"/>
        </w:rPr>
      </w:pPr>
      <w:r>
        <w:rPr>
          <w:rFonts w:cs="Calibri"/>
        </w:rPr>
        <w:t>Zadanie 2 – zakup i dostawa wiertarki słupowej</w:t>
      </w:r>
    </w:p>
    <w:p w14:paraId="73CD09F1">
      <w:pPr>
        <w:spacing w:after="0"/>
        <w:rPr>
          <w:rFonts w:cs="Calibri"/>
        </w:rPr>
      </w:pPr>
      <w:r>
        <w:rPr>
          <w:rFonts w:cs="Calibri"/>
        </w:rPr>
        <w:t>Zadanie 3 – zakup i dostawa wiertarki kadłubowej</w:t>
      </w:r>
    </w:p>
    <w:p w14:paraId="1C034682">
      <w:pPr>
        <w:spacing w:after="0"/>
        <w:rPr>
          <w:rFonts w:cs="Calibri"/>
        </w:rPr>
      </w:pPr>
      <w:r>
        <w:rPr>
          <w:rFonts w:cs="Calibri"/>
        </w:rPr>
        <w:t>Zadanie 4 – zakup i dostawa wiertarko-frezarki</w:t>
      </w:r>
    </w:p>
    <w:p w14:paraId="44B4A8B1">
      <w:pPr>
        <w:spacing w:after="0"/>
        <w:rPr>
          <w:rFonts w:cs="Calibri"/>
        </w:rPr>
      </w:pPr>
      <w:r>
        <w:rPr>
          <w:rFonts w:cs="Calibri"/>
        </w:rPr>
        <w:t>Zadanie 5 – zakup i dostawa wiertarko-frezarki słupowej 32 mm</w:t>
      </w:r>
    </w:p>
    <w:p w14:paraId="61B8625E">
      <w:pPr>
        <w:spacing w:after="0"/>
        <w:rPr>
          <w:rFonts w:cs="Calibri"/>
        </w:rPr>
      </w:pPr>
      <w:r>
        <w:rPr>
          <w:rFonts w:cs="Calibri"/>
        </w:rPr>
        <w:t>Zadanie 6 – zakup i dostawa wiertarko-frezarki kolumnowej 45 mm</w:t>
      </w:r>
    </w:p>
    <w:p w14:paraId="79A2A8B4">
      <w:pPr>
        <w:spacing w:after="0"/>
        <w:rPr>
          <w:rFonts w:cs="Calibri"/>
        </w:rPr>
      </w:pPr>
      <w:r>
        <w:rPr>
          <w:rFonts w:cs="Calibri"/>
        </w:rPr>
        <w:t>Zadanie 7 – zakup i dostawa elektrodrążarki</w:t>
      </w:r>
    </w:p>
    <w:p w14:paraId="702F0B8E">
      <w:pPr>
        <w:spacing w:after="0"/>
        <w:rPr>
          <w:rFonts w:cs="Calibri"/>
          <w:color w:val="FF0000"/>
        </w:rPr>
      </w:pPr>
    </w:p>
    <w:p w14:paraId="57DB44B0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Zamawiający dopuszcza możliwość złożenia ofert częściowych w ramach jednego formularza ofertowego – tzn. </w:t>
      </w:r>
      <w:bookmarkStart w:id="0" w:name="_GoBack"/>
      <w:r>
        <w:rPr>
          <w:rFonts w:cs="Calibri"/>
        </w:rPr>
        <w:t>Wykonawc</w:t>
      </w:r>
      <w:bookmarkEnd w:id="0"/>
      <w:r>
        <w:rPr>
          <w:rFonts w:cs="Calibri"/>
        </w:rPr>
        <w:t xml:space="preserve">a może złożyć ofertę na pojedyncze zadanie, dwa lub więcej zadań, jak </w:t>
      </w:r>
      <w:r>
        <w:rPr>
          <w:rFonts w:cs="Calibri"/>
        </w:rPr>
        <w:br w:type="textWrapping"/>
      </w:r>
      <w:r>
        <w:rPr>
          <w:rFonts w:cs="Calibri"/>
        </w:rPr>
        <w:t>i wszystkie zadania. Sprzęt (urządzenia) wskazany w poniższych zadaniach musi być fabrycznie nowy (nieużywany),</w:t>
      </w:r>
      <w:r>
        <w:t xml:space="preserve"> </w:t>
      </w:r>
      <w:r>
        <w:rPr>
          <w:rFonts w:cs="Calibri"/>
        </w:rPr>
        <w:t>wolny od wad oraz spełniać wymogi norm określone obowiązującym prawem.</w:t>
      </w:r>
    </w:p>
    <w:p w14:paraId="11E708C1">
      <w:pPr>
        <w:spacing w:after="0"/>
        <w:jc w:val="both"/>
      </w:pPr>
      <w:r>
        <w:rPr>
          <w:rFonts w:cs="Calibri"/>
        </w:rPr>
        <w:t>Termin realizacji umowy przez Wykonawcę wynosi do 30 dni od jej zawarcia.</w:t>
      </w:r>
    </w:p>
    <w:p w14:paraId="67478E68">
      <w:pPr>
        <w:spacing w:after="0" w:line="247" w:lineRule="auto"/>
        <w:ind w:right="42"/>
        <w:jc w:val="both"/>
        <w:rPr>
          <w:rFonts w:cs="Calibri"/>
          <w:color w:val="FF000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8416"/>
      </w:tblGrid>
      <w:tr w14:paraId="3E165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  <w:vAlign w:val="center"/>
          </w:tcPr>
          <w:p w14:paraId="3F2F11C2">
            <w:pPr>
              <w:spacing w:after="0"/>
              <w:ind w:right="-2"/>
              <w:jc w:val="center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Zadanie</w:t>
            </w:r>
          </w:p>
        </w:tc>
        <w:tc>
          <w:tcPr>
            <w:tcW w:w="8505" w:type="dxa"/>
            <w:shd w:val="clear" w:color="auto" w:fill="auto"/>
            <w:vAlign w:val="center"/>
          </w:tcPr>
          <w:p w14:paraId="0BC9217C">
            <w:pPr>
              <w:spacing w:after="0"/>
              <w:ind w:right="-2"/>
              <w:jc w:val="center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Przedmiot zamówienia wraz z charakterystyką</w:t>
            </w:r>
          </w:p>
        </w:tc>
      </w:tr>
      <w:tr w14:paraId="30331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7AD4508D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14:paraId="3E232849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Wiertarka promieniowa:</w:t>
            </w:r>
          </w:p>
          <w:p w14:paraId="65CD441F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 stali: 50mm</w:t>
            </w:r>
          </w:p>
          <w:p w14:paraId="0EBB3DAB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Odległość od osi wrzeciona do kolumny: zakres nie mniejszy niż 350-1600 mm</w:t>
            </w:r>
          </w:p>
          <w:p w14:paraId="40398BE2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Średnica kolumny: nie mniej niż 350 mm</w:t>
            </w:r>
          </w:p>
          <w:p w14:paraId="7AB830DE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Liczba prędkości obrotowych wrzeciona: nie mniej niż 16</w:t>
            </w:r>
          </w:p>
          <w:p w14:paraId="0737B7B4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Wysuw pinoli wrzeciona: 315 mm</w:t>
            </w:r>
          </w:p>
          <w:p w14:paraId="7F8F1C06">
            <w:pPr>
              <w:numPr>
                <w:ilvl w:val="0"/>
                <w:numId w:val="1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moc silnika głównego: 4 kW</w:t>
            </w:r>
          </w:p>
        </w:tc>
      </w:tr>
      <w:tr w14:paraId="35ED5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32D66574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2</w:t>
            </w:r>
          </w:p>
        </w:tc>
        <w:tc>
          <w:tcPr>
            <w:tcW w:w="8505" w:type="dxa"/>
            <w:shd w:val="clear" w:color="auto" w:fill="auto"/>
          </w:tcPr>
          <w:p w14:paraId="65FEF2E6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Wiertarka słupowa:</w:t>
            </w:r>
          </w:p>
          <w:p w14:paraId="00B940A5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wiercenia: 50 mm</w:t>
            </w:r>
          </w:p>
          <w:p w14:paraId="5DF19A4F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Liczba posuwów wrzeciona: 20-204</w:t>
            </w:r>
          </w:p>
          <w:p w14:paraId="18B9B486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Średnica kolumny: 180 mm</w:t>
            </w:r>
          </w:p>
          <w:p w14:paraId="274F463B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 roboczej powierzchni stołu: zakres nie mniejszy niż 550x470 mm</w:t>
            </w:r>
          </w:p>
          <w:p w14:paraId="27461F33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 roboczej powierzchni podstawy: zakres nie mniejszy niż 450x460 mm</w:t>
            </w:r>
          </w:p>
          <w:p w14:paraId="4827B23B">
            <w:pPr>
              <w:numPr>
                <w:ilvl w:val="0"/>
                <w:numId w:val="2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Silnik elektryczny trójfazowy: nie mniej niż 3,3 V</w:t>
            </w:r>
          </w:p>
        </w:tc>
      </w:tr>
      <w:tr w14:paraId="60575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6E6037C3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3</w:t>
            </w:r>
          </w:p>
        </w:tc>
        <w:tc>
          <w:tcPr>
            <w:tcW w:w="8505" w:type="dxa"/>
            <w:shd w:val="clear" w:color="auto" w:fill="auto"/>
          </w:tcPr>
          <w:p w14:paraId="7C482979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Wiertarka kadłubowa:</w:t>
            </w:r>
          </w:p>
          <w:p w14:paraId="776C0E0D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wiercenia: 63 mm</w:t>
            </w:r>
          </w:p>
          <w:p w14:paraId="0763F5BF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Maksymalny moment obrotowy: 800 Nm</w:t>
            </w:r>
          </w:p>
          <w:p w14:paraId="20D75EF4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Wysuw tulei wrzeciona: 250 mm</w:t>
            </w:r>
          </w:p>
          <w:p w14:paraId="016283D2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Przesuw wrzeciennika: 260 mm</w:t>
            </w:r>
          </w:p>
          <w:p w14:paraId="3B67C636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Przesuw stołu roboczego: 300 mm</w:t>
            </w:r>
          </w:p>
          <w:p w14:paraId="172BE4EE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Powierzchnia robocza podstawy: zakres nie mniejszy niż 600x580 mm</w:t>
            </w:r>
          </w:p>
          <w:p w14:paraId="09FA3F34">
            <w:pPr>
              <w:numPr>
                <w:ilvl w:val="0"/>
                <w:numId w:val="3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moc silnika głównego: 5,5 kW</w:t>
            </w:r>
          </w:p>
        </w:tc>
      </w:tr>
      <w:tr w14:paraId="42A92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12E328F6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4</w:t>
            </w:r>
          </w:p>
        </w:tc>
        <w:tc>
          <w:tcPr>
            <w:tcW w:w="8505" w:type="dxa"/>
            <w:shd w:val="clear" w:color="auto" w:fill="auto"/>
          </w:tcPr>
          <w:p w14:paraId="2FA7292E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Wiertarko-frezarka:</w:t>
            </w:r>
          </w:p>
          <w:p w14:paraId="3AE38BF3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 w stali: 32 mm</w:t>
            </w:r>
          </w:p>
          <w:p w14:paraId="467CB2A2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Średnica freza czołowego: 70 mm</w:t>
            </w:r>
          </w:p>
          <w:p w14:paraId="38DDC406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Średnica freza trzpieniowego: 30 mm</w:t>
            </w:r>
          </w:p>
          <w:p w14:paraId="2EB5E57C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Wymiary stołu: zakres nie mniejszy niż 730x210 mm</w:t>
            </w:r>
          </w:p>
          <w:p w14:paraId="13318E95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Wysuw wrzeciona: 70 mm</w:t>
            </w:r>
          </w:p>
          <w:p w14:paraId="6F379702">
            <w:pPr>
              <w:numPr>
                <w:ilvl w:val="0"/>
                <w:numId w:val="4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Obroty wrzeciona: 50-2900 obr/min</w:t>
            </w:r>
          </w:p>
        </w:tc>
      </w:tr>
      <w:tr w14:paraId="3494B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6D4B5458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5</w:t>
            </w:r>
          </w:p>
        </w:tc>
        <w:tc>
          <w:tcPr>
            <w:tcW w:w="8505" w:type="dxa"/>
            <w:shd w:val="clear" w:color="auto" w:fill="auto"/>
          </w:tcPr>
          <w:p w14:paraId="7DEF9586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Wiertarko-frezarka słupowa 32 mm:</w:t>
            </w:r>
          </w:p>
          <w:p w14:paraId="6B4822B3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wiercenia: 32 mm</w:t>
            </w:r>
          </w:p>
          <w:p w14:paraId="496811F5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frezowania płaszczyzn: 63 mm</w:t>
            </w:r>
          </w:p>
          <w:p w14:paraId="3885B141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frezowania pionowego: 20 mm</w:t>
            </w:r>
          </w:p>
          <w:p w14:paraId="7BEDEEDD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Skok wrzeciona: 80 mm</w:t>
            </w:r>
          </w:p>
          <w:p w14:paraId="71F195D5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Wymiary stołu krzyżowego: zakres nie mniejszy niż 700x180 mm</w:t>
            </w:r>
          </w:p>
          <w:p w14:paraId="5C0E0ED4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Przesuw stołu krzyżowego X: 390 mm</w:t>
            </w:r>
          </w:p>
          <w:p w14:paraId="225BBDFF">
            <w:pPr>
              <w:numPr>
                <w:ilvl w:val="0"/>
                <w:numId w:val="5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Przesuw stołu krzyżowego Y: 180 mm</w:t>
            </w:r>
          </w:p>
        </w:tc>
      </w:tr>
      <w:tr w14:paraId="1E6CC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484EB27C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6</w:t>
            </w:r>
          </w:p>
        </w:tc>
        <w:tc>
          <w:tcPr>
            <w:tcW w:w="8505" w:type="dxa"/>
            <w:shd w:val="clear" w:color="auto" w:fill="auto"/>
          </w:tcPr>
          <w:p w14:paraId="0E22149E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Wiertarko-frezarka kolumnowa 45 mm:</w:t>
            </w:r>
          </w:p>
          <w:p w14:paraId="4C7DB582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wiercenia: 45 mm</w:t>
            </w:r>
          </w:p>
          <w:p w14:paraId="0DA91A57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frezowania płaszczyzn: 80 mm</w:t>
            </w:r>
          </w:p>
          <w:p w14:paraId="2B64347A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Maksymalna średnica frezowania pionowego: 32 mm</w:t>
            </w:r>
          </w:p>
          <w:p w14:paraId="3E3E00FD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Obroty wrzeciona (minimum 6 przełożeń) - 80, 145, 260, 375, 710, 1250 obr/min</w:t>
            </w:r>
          </w:p>
          <w:p w14:paraId="6BB8CD7D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Skok wrzeciona: 130 mm</w:t>
            </w:r>
          </w:p>
          <w:p w14:paraId="2BB01D9C">
            <w:pPr>
              <w:numPr>
                <w:ilvl w:val="0"/>
                <w:numId w:val="6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Wymiary stołu: zakres nie mniejszy niż 800 x 240 mm</w:t>
            </w:r>
          </w:p>
        </w:tc>
      </w:tr>
      <w:tr w14:paraId="3DEF2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shd w:val="clear" w:color="auto" w:fill="auto"/>
          </w:tcPr>
          <w:p w14:paraId="4DB7C8B6">
            <w:pPr>
              <w:spacing w:after="0"/>
              <w:ind w:right="-2"/>
              <w:jc w:val="center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7</w:t>
            </w:r>
          </w:p>
        </w:tc>
        <w:tc>
          <w:tcPr>
            <w:tcW w:w="8505" w:type="dxa"/>
            <w:shd w:val="clear" w:color="auto" w:fill="auto"/>
          </w:tcPr>
          <w:p w14:paraId="1E9BBC6B">
            <w:pPr>
              <w:spacing w:after="0"/>
              <w:ind w:right="-2"/>
              <w:rPr>
                <w:rFonts w:cs="Calibri"/>
                <w:b/>
                <w:sz w:val="20"/>
                <w:szCs w:val="25"/>
              </w:rPr>
            </w:pPr>
            <w:r>
              <w:rPr>
                <w:rFonts w:cs="Calibri"/>
                <w:b/>
                <w:sz w:val="20"/>
                <w:szCs w:val="25"/>
              </w:rPr>
              <w:t>Elektrodrążarka:</w:t>
            </w:r>
          </w:p>
          <w:p w14:paraId="57982797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Przesuw w osi X/Y/Z: zakres nie mniejszy niż 400/300/200 mm</w:t>
            </w:r>
          </w:p>
          <w:p w14:paraId="0333BA14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Wymiar stołu: zakres nie mniejszy niż 650x400 mm</w:t>
            </w:r>
          </w:p>
          <w:p w14:paraId="72764C28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Sterowanie – ZNC (lub równoważne)</w:t>
            </w:r>
          </w:p>
          <w:p w14:paraId="3F5491E5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Maksymalny ciężar przedmiotu/elektrody: 900 kg</w:t>
            </w:r>
          </w:p>
          <w:p w14:paraId="2A6DD63C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 xml:space="preserve">Wyposażona w chłodziarkę dielektryka i generator o zwiększonej mocy 75W </w:t>
            </w:r>
          </w:p>
          <w:p w14:paraId="52C07FAE">
            <w:pPr>
              <w:numPr>
                <w:ilvl w:val="0"/>
                <w:numId w:val="7"/>
              </w:numPr>
              <w:spacing w:after="0"/>
              <w:ind w:right="-2"/>
              <w:rPr>
                <w:rFonts w:cs="Calibri"/>
                <w:sz w:val="20"/>
                <w:szCs w:val="25"/>
              </w:rPr>
            </w:pPr>
            <w:r>
              <w:rPr>
                <w:rFonts w:cs="Calibri"/>
                <w:sz w:val="20"/>
                <w:szCs w:val="25"/>
              </w:rPr>
              <w:t>Należy uwzględnić podstawowe, 16-godzinne szkolenie z jej obsługi (w siedzibie Zamawiającego)</w:t>
            </w:r>
          </w:p>
        </w:tc>
      </w:tr>
    </w:tbl>
    <w:p w14:paraId="1A892EE5">
      <w:pPr>
        <w:spacing w:after="0" w:line="257" w:lineRule="auto"/>
        <w:jc w:val="both"/>
        <w:rPr>
          <w:rFonts w:cs="Calibri"/>
        </w:rPr>
      </w:pPr>
      <w:r>
        <w:rPr>
          <w:rFonts w:cs="Calibri"/>
        </w:rPr>
        <w:t xml:space="preserve">Jeśli w opisie przedmiotu zamówienia występują: nazwy konkretnego producenta, nazwy konkretnego produktu, norm, znaków towarowych, patentów lub pochodzenia, źródła lub szczególnego procesu, który charakteryzuje produkty lub usługi dostarczane przez konkretnego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ykonawcę, należy to traktować jedynie jako pomoc w opisie przedmiotu zamówienia. W każdym przypadku dopuszczalne są produkty równoważne pod względem konstrukcji, materiałów, funkcjonalności, norm, jakości itp. Jeżeli w opisie przedmiotu zamówienia wskazano jakikolwiek znak towarowy, patent czy pochodzenie – należy przyjąć, że wskazane patenty, znaki towarowe, pochodzenie określają parametry techniczne, eksploatacyjne, użytkowe, co oznacza, że Zamawiający dopuszcza złożenie ofert w tej części przedmiotu zamówienia o równoważnych parametrach technicznych, eksploatacyjnych i użytkowych.</w:t>
      </w:r>
    </w:p>
    <w:p w14:paraId="1BD8B460">
      <w:pPr>
        <w:spacing w:after="0" w:line="247" w:lineRule="auto"/>
        <w:ind w:right="42"/>
        <w:jc w:val="both"/>
        <w:rPr>
          <w:rFonts w:cs="Calibri"/>
          <w:b/>
        </w:rPr>
      </w:pPr>
    </w:p>
    <w:p w14:paraId="638C8EA8">
      <w:pPr>
        <w:spacing w:after="0" w:line="247" w:lineRule="auto"/>
        <w:ind w:right="42"/>
        <w:jc w:val="both"/>
        <w:rPr>
          <w:rFonts w:cs="Calibri"/>
          <w:b/>
        </w:rPr>
      </w:pPr>
      <w:r>
        <w:rPr>
          <w:rFonts w:cs="Calibri"/>
          <w:b/>
        </w:rPr>
        <w:t>Dodatkowe warunki zamówienia:</w:t>
      </w:r>
    </w:p>
    <w:p w14:paraId="22499D52">
      <w:pPr>
        <w:numPr>
          <w:ilvl w:val="0"/>
          <w:numId w:val="8"/>
        </w:numPr>
        <w:spacing w:after="0" w:line="247" w:lineRule="auto"/>
        <w:ind w:right="42"/>
        <w:jc w:val="both"/>
        <w:rPr>
          <w:rFonts w:cs="Calibri"/>
        </w:rPr>
      </w:pPr>
      <w:r>
        <w:rPr>
          <w:rFonts w:cs="Calibri"/>
        </w:rPr>
        <w:t>Zapewnienie przez Wykonawcę pakowania, transportu, wniesienia na miejsce wskazane przez Zamawiającego oraz rozpakowanie przedmiotu zamówienia.</w:t>
      </w:r>
    </w:p>
    <w:p w14:paraId="7D2527E7">
      <w:pPr>
        <w:numPr>
          <w:ilvl w:val="0"/>
          <w:numId w:val="8"/>
        </w:numPr>
        <w:spacing w:after="0" w:line="247" w:lineRule="auto"/>
        <w:ind w:right="42"/>
        <w:jc w:val="both"/>
        <w:rPr>
          <w:rFonts w:cs="Calibri"/>
        </w:rPr>
      </w:pPr>
      <w:r>
        <w:rPr>
          <w:rFonts w:cs="Calibri"/>
        </w:rPr>
        <w:t>Odpowiedzialność za wady przedmiotu zamówienia – minimum 12 miesięcy.</w:t>
      </w:r>
    </w:p>
    <w:p w14:paraId="2BB96ECD">
      <w:pPr>
        <w:numPr>
          <w:ilvl w:val="0"/>
          <w:numId w:val="8"/>
        </w:numPr>
        <w:spacing w:after="0" w:line="247" w:lineRule="auto"/>
        <w:ind w:right="42"/>
        <w:jc w:val="both"/>
        <w:rPr>
          <w:rFonts w:cs="Calibri"/>
        </w:rPr>
      </w:pPr>
      <w:r>
        <w:rPr>
          <w:rFonts w:cs="Calibri"/>
        </w:rPr>
        <w:t>W przypadku gdy jest to możliwe ze względu na parametry techniczne i użytkowe przedmiotu zamówienia, Wykonawca – w uzgodnieniu z Zamawiającym – usytuuje przedmiot zamówienia w sposób zapewniający dostępność dla osób z ograniczeniami wynikającymi z niepełnosprawności.</w:t>
      </w:r>
    </w:p>
    <w:p w14:paraId="03DC7E5A">
      <w:pPr>
        <w:numPr>
          <w:ilvl w:val="0"/>
          <w:numId w:val="8"/>
        </w:numPr>
        <w:spacing w:after="0" w:line="247" w:lineRule="auto"/>
        <w:ind w:right="42"/>
        <w:jc w:val="both"/>
        <w:rPr>
          <w:rFonts w:cs="Calibri"/>
        </w:rPr>
      </w:pPr>
      <w:r>
        <w:rPr>
          <w:rFonts w:cs="Calibri"/>
        </w:rPr>
        <w:t xml:space="preserve">W przypadku zaistnienia takiej konieczności Wykonawca przeszkoli wskazane osoby </w:t>
      </w:r>
      <w:r>
        <w:rPr>
          <w:rFonts w:cs="Calibri"/>
        </w:rPr>
        <w:br w:type="textWrapping"/>
      </w:r>
      <w:r>
        <w:rPr>
          <w:rFonts w:cs="Calibri"/>
        </w:rPr>
        <w:t xml:space="preserve">w korzystaniu z przedmiotu umowy uwzględniając ograniczenia tych osób wynikające </w:t>
      </w:r>
      <w:r>
        <w:rPr>
          <w:rFonts w:cs="Calibri"/>
        </w:rPr>
        <w:br w:type="textWrapping"/>
      </w:r>
      <w:r>
        <w:rPr>
          <w:rFonts w:cs="Calibri"/>
        </w:rPr>
        <w:t>z niepełnosprawności.</w:t>
      </w:r>
    </w:p>
    <w:p w14:paraId="1578D650">
      <w:pPr>
        <w:spacing w:after="0" w:line="247" w:lineRule="auto"/>
        <w:ind w:right="42"/>
        <w:jc w:val="both"/>
        <w:rPr>
          <w:rFonts w:cs="Calibri"/>
          <w:b/>
          <w:u w:val="single"/>
        </w:rPr>
      </w:pPr>
    </w:p>
    <w:p w14:paraId="57C2653F">
      <w:pPr>
        <w:pStyle w:val="3"/>
        <w:spacing w:before="0" w:line="240" w:lineRule="auto"/>
        <w:rPr>
          <w:rFonts w:ascii="Calibri" w:hAnsi="Calibri" w:cs="Calibri"/>
          <w:b/>
          <w:color w:val="auto"/>
          <w:sz w:val="22"/>
          <w:u w:val="single"/>
        </w:rPr>
      </w:pPr>
      <w:r>
        <w:rPr>
          <w:rFonts w:ascii="Calibri" w:hAnsi="Calibri" w:cs="Calibri"/>
          <w:b/>
          <w:color w:val="auto"/>
          <w:sz w:val="22"/>
          <w:u w:val="single"/>
        </w:rPr>
        <w:t>Warunki udziału w postępowaniu oraz opis sposobu dokonywania oceny ich spełniania</w:t>
      </w:r>
    </w:p>
    <w:p w14:paraId="59DFAA60">
      <w:pPr>
        <w:spacing w:after="0"/>
        <w:jc w:val="both"/>
        <w:rPr>
          <w:rFonts w:cs="Calibri"/>
        </w:rPr>
      </w:pPr>
      <w:r>
        <w:rPr>
          <w:rFonts w:cs="Calibri"/>
        </w:rPr>
        <w:t xml:space="preserve">Warunki udziału w postępowaniu – warunki te nie są wymagane przez Zamawiającego. </w:t>
      </w:r>
    </w:p>
    <w:p w14:paraId="1C026B9F">
      <w:pPr>
        <w:spacing w:after="0"/>
        <w:jc w:val="both"/>
        <w:rPr>
          <w:rFonts w:cs="Calibri"/>
        </w:rPr>
      </w:pPr>
    </w:p>
    <w:p w14:paraId="09F3EEC9">
      <w:pPr>
        <w:spacing w:after="0"/>
        <w:jc w:val="both"/>
      </w:pPr>
      <w:r>
        <w:rPr>
          <w:rFonts w:cs="Calibri"/>
        </w:rPr>
        <w:t>O udzielenie zamówienia mogą ubiegać się Wykonawcy, którzy nie są powiązani z Zamawiającym osobowo lub kapitałowo. W celu wykazania braku podstaw do wykluczenia w ww. zakresie Wykonawca składa oświadczenie stanowiące Załącznik nr 1. W celu skorzystania z preferencji przewidzianych dla Podmiotów Ekonomii Społecznej, Wykonawca składa oświadczenie o posiadaniu tego typu statusu objęte treścią Załącznika nr 1.</w:t>
      </w:r>
    </w:p>
    <w:p w14:paraId="6E1C5B26">
      <w:pPr>
        <w:spacing w:after="0" w:line="247" w:lineRule="auto"/>
        <w:ind w:right="42"/>
        <w:jc w:val="both"/>
        <w:rPr>
          <w:rFonts w:cs="Calibri"/>
          <w:color w:val="FF0000"/>
        </w:rPr>
      </w:pPr>
    </w:p>
    <w:p w14:paraId="50E1C19B">
      <w:pPr>
        <w:spacing w:after="208" w:line="268" w:lineRule="auto"/>
        <w:jc w:val="both"/>
        <w:rPr>
          <w:rFonts w:cs="Calibri"/>
          <w:b/>
        </w:rPr>
      </w:pPr>
      <w:r>
        <w:rPr>
          <w:rFonts w:cs="Calibri"/>
          <w:b/>
        </w:rPr>
        <w:t>Wykaz oświadczeń lub dokumentów, jakie mają dostarczyć potencjalni Wykonawcy:</w:t>
      </w:r>
    </w:p>
    <w:p w14:paraId="7FCD3A6F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Załącznik nr 1 – Formularz ofertowy wraz z oświadczeniem o braku powiązań osobowych </w:t>
      </w:r>
      <w:r>
        <w:rPr>
          <w:rFonts w:cs="Calibri"/>
          <w:lang w:eastAsia="ar-SA"/>
        </w:rPr>
        <w:br w:type="textWrapping"/>
      </w:r>
      <w:r>
        <w:rPr>
          <w:rFonts w:cs="Calibri"/>
          <w:lang w:eastAsia="ar-SA"/>
        </w:rPr>
        <w:t>i kapitałowych.</w:t>
      </w:r>
    </w:p>
    <w:p w14:paraId="7F47C070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Załącznik nr 2 – Oświadczenie </w:t>
      </w:r>
      <w:r>
        <w:rPr>
          <w:rFonts w:hint="default" w:cs="Calibri"/>
          <w:lang w:val="pl-PL" w:eastAsia="ar-SA"/>
        </w:rPr>
        <w:t>W</w:t>
      </w:r>
      <w:r>
        <w:rPr>
          <w:rFonts w:cs="Calibri"/>
          <w:lang w:eastAsia="ar-SA"/>
        </w:rPr>
        <w:t>ykonawcy.</w:t>
      </w:r>
    </w:p>
    <w:p w14:paraId="7EAE7C4C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Załącznik nr 3 – Oświadczenie </w:t>
      </w:r>
      <w:r>
        <w:rPr>
          <w:rFonts w:hint="default" w:cs="Calibri"/>
          <w:lang w:val="pl-PL" w:eastAsia="ar-SA"/>
        </w:rPr>
        <w:t>W</w:t>
      </w:r>
      <w:r>
        <w:rPr>
          <w:rFonts w:cs="Calibri"/>
          <w:lang w:eastAsia="ar-SA"/>
        </w:rPr>
        <w:t>ykonawcy</w:t>
      </w:r>
      <w:r>
        <w:rPr>
          <w:rFonts w:hint="default" w:cs="Calibri"/>
          <w:lang w:val="pl-PL" w:eastAsia="ar-SA"/>
        </w:rPr>
        <w:t xml:space="preserve"> </w:t>
      </w:r>
      <w:r>
        <w:rPr>
          <w:rFonts w:cs="Calibri"/>
          <w:lang w:eastAsia="ar-SA"/>
        </w:rPr>
        <w:t>- termin.</w:t>
      </w:r>
    </w:p>
    <w:p w14:paraId="06E37A4E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>Załącznik nr 4 – Oświadczenie związane z ustawą o szczególnych rozwiązaniach w zakresie przeciwdziałania wspieraniu agresji na Ukrainę oraz służących ochronie bezpieczeństwa narodowego.</w:t>
      </w:r>
    </w:p>
    <w:p w14:paraId="5FD7BE34">
      <w:pPr>
        <w:spacing w:after="0" w:line="240" w:lineRule="auto"/>
        <w:jc w:val="both"/>
        <w:rPr>
          <w:rFonts w:cs="Calibri"/>
          <w:color w:val="FF0000"/>
          <w:lang w:eastAsia="ar-SA"/>
        </w:rPr>
      </w:pPr>
    </w:p>
    <w:p w14:paraId="72A8AFBF">
      <w:pPr>
        <w:spacing w:after="0" w:line="240" w:lineRule="auto"/>
        <w:jc w:val="both"/>
        <w:rPr>
          <w:rFonts w:cs="Calibri"/>
          <w:lang w:eastAsia="ar-SA"/>
        </w:rPr>
      </w:pPr>
      <w:r>
        <w:rPr>
          <w:rFonts w:cs="Calibri"/>
          <w:b/>
          <w:u w:val="single"/>
        </w:rPr>
        <w:t>Kryteria oceny oferty. Informacja o wagach punktowych lub procentowych przypisanych do poszczególnych kryteriów oceny oferty.</w:t>
      </w:r>
    </w:p>
    <w:p w14:paraId="4C6B30F1">
      <w:pPr>
        <w:pStyle w:val="125"/>
        <w:jc w:val="both"/>
        <w:rPr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Zamawiający określił dwa kryteria oceny ofert: cenę i termin dostawy. </w:t>
      </w:r>
    </w:p>
    <w:p w14:paraId="47415F73">
      <w:pPr>
        <w:pStyle w:val="125"/>
        <w:numPr>
          <w:ilvl w:val="0"/>
          <w:numId w:val="9"/>
        </w:numPr>
        <w:spacing w:before="120" w:after="120"/>
        <w:jc w:val="both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szCs w:val="22"/>
        </w:rPr>
        <w:t xml:space="preserve">Cena: 80% max. 80 pkt. </w:t>
      </w:r>
    </w:p>
    <w:p w14:paraId="31F786B6">
      <w:pPr>
        <w:pStyle w:val="125"/>
        <w:jc w:val="both"/>
        <w:rPr>
          <w:color w:val="auto"/>
        </w:rPr>
      </w:pPr>
      <w:r>
        <w:rPr>
          <w:rFonts w:ascii="Calibri" w:hAnsi="Calibri" w:cs="Calibri"/>
          <w:color w:val="auto"/>
          <w:sz w:val="22"/>
          <w:szCs w:val="22"/>
          <w:u w:val="single"/>
        </w:rPr>
        <w:t>Kryterium Cena</w:t>
      </w:r>
      <w:r>
        <w:rPr>
          <w:rFonts w:ascii="Calibri" w:hAnsi="Calibri" w:cs="Calibri"/>
          <w:color w:val="auto"/>
          <w:sz w:val="22"/>
          <w:szCs w:val="22"/>
        </w:rPr>
        <w:t xml:space="preserve"> (C) będzie oceniane w wyniku porównania ceny oferty najkorzystniejszej (Cmin.) z ceną podaną w ofercie rozpatrywanej (Cor.). Punkty za kryterium cena zostaną przyznane </w:t>
      </w:r>
      <w:r>
        <w:rPr>
          <w:rFonts w:ascii="Calibri" w:hAnsi="Calibri" w:cs="Calibri"/>
          <w:color w:val="auto"/>
          <w:sz w:val="22"/>
          <w:szCs w:val="22"/>
        </w:rPr>
        <w:br w:type="textWrapping"/>
      </w:r>
      <w:r>
        <w:rPr>
          <w:rFonts w:ascii="Calibri" w:hAnsi="Calibri" w:cs="Calibri"/>
          <w:color w:val="auto"/>
          <w:sz w:val="22"/>
          <w:szCs w:val="22"/>
        </w:rPr>
        <w:t>wg</w:t>
      </w:r>
      <w:r>
        <w:rPr>
          <w:rFonts w:hint="default" w:ascii="Calibri" w:hAnsi="Calibri" w:cs="Calibri"/>
          <w:color w:val="auto"/>
          <w:sz w:val="22"/>
          <w:szCs w:val="22"/>
          <w:lang w:val="pl-PL"/>
        </w:rPr>
        <w:t>.</w:t>
      </w:r>
      <w:r>
        <w:rPr>
          <w:rFonts w:ascii="Calibri" w:hAnsi="Calibri" w:cs="Calibri"/>
          <w:color w:val="auto"/>
          <w:sz w:val="22"/>
          <w:szCs w:val="22"/>
        </w:rPr>
        <w:t xml:space="preserve"> następującego wzoru:</w:t>
      </w:r>
    </w:p>
    <w:p w14:paraId="7FF7B5FA">
      <w:pPr>
        <w:pStyle w:val="125"/>
        <w:ind w:firstLine="709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5D0D2B0F">
      <w:pPr>
        <w:pStyle w:val="125"/>
        <w:ind w:firstLine="709"/>
        <w:jc w:val="both"/>
        <w:rPr>
          <w:color w:val="auto"/>
        </w:rPr>
      </w:pPr>
      <w:r>
        <w:rPr>
          <w:rFonts w:ascii="Calibri" w:hAnsi="Calibri" w:cs="Calibri"/>
          <w:bCs/>
          <w:color w:val="auto"/>
          <w:sz w:val="22"/>
          <w:szCs w:val="22"/>
        </w:rPr>
        <w:t>C = Cmin. / Cor. x 100 punktów x 80%</w:t>
      </w:r>
    </w:p>
    <w:p w14:paraId="5D39C660">
      <w:pPr>
        <w:pStyle w:val="125"/>
        <w:ind w:firstLine="709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C7C283F">
      <w:pPr>
        <w:pStyle w:val="125"/>
        <w:jc w:val="both"/>
        <w:rPr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Cena w ofercie musi być podana w walucie polskiej i być ceną brutto. W ramach niniejszego kryterium Oferent może uzyskać maksymalnie 80 punktów. </w:t>
      </w:r>
    </w:p>
    <w:p w14:paraId="1220A46C">
      <w:pPr>
        <w:pStyle w:val="125"/>
        <w:jc w:val="both"/>
        <w:rPr>
          <w:rFonts w:ascii="Calibri" w:hAnsi="Calibri" w:cs="Calibri"/>
          <w:b/>
          <w:color w:val="auto"/>
          <w:sz w:val="22"/>
          <w:szCs w:val="22"/>
        </w:rPr>
      </w:pPr>
    </w:p>
    <w:p w14:paraId="09508B2B">
      <w:pPr>
        <w:pStyle w:val="125"/>
        <w:numPr>
          <w:ilvl w:val="0"/>
          <w:numId w:val="9"/>
        </w:numPr>
        <w:jc w:val="both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szCs w:val="22"/>
        </w:rPr>
        <w:t xml:space="preserve">Termin realizacji zamówienia: 20% - max. 20 pkt. </w:t>
      </w:r>
    </w:p>
    <w:p w14:paraId="71F7B27B">
      <w:pPr>
        <w:pStyle w:val="125"/>
        <w:jc w:val="both"/>
        <w:rPr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 xml:space="preserve">Liczba punktów w kryterium termin realizacji zamówienia – (liczony w dniach kalendarzowych od dnia złożenia zamówienia) będzie przyznawany wg poniższej punktacji: </w:t>
      </w:r>
    </w:p>
    <w:p w14:paraId="46870BEC">
      <w:pPr>
        <w:pStyle w:val="125"/>
        <w:numPr>
          <w:ilvl w:val="0"/>
          <w:numId w:val="10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20 punktów – czas realizacji zamówienia do 7 dni kalendarzowych włącznie liczony od dnia zawarcia umowy,</w:t>
      </w:r>
    </w:p>
    <w:p w14:paraId="45E144A9">
      <w:pPr>
        <w:pStyle w:val="125"/>
        <w:numPr>
          <w:ilvl w:val="0"/>
          <w:numId w:val="10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10 punktów – czas realizacji zamówienia od 8 do 14 dni kalendarzowych włącznie liczony od dnia zawarcia umowy,</w:t>
      </w:r>
    </w:p>
    <w:p w14:paraId="6E13DEC2">
      <w:pPr>
        <w:pStyle w:val="125"/>
        <w:numPr>
          <w:ilvl w:val="0"/>
          <w:numId w:val="10"/>
        </w:numPr>
        <w:ind w:left="426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0 punktów – czas realizacji zamówienia wynoszący więcej niż 14 dni kalendarzowych liczony od dnia zawarcia umowy.</w:t>
      </w:r>
    </w:p>
    <w:p w14:paraId="0B55B0BD">
      <w:pPr>
        <w:pStyle w:val="125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W ramach niniejszego kryterium Oferent może uzyskać maksymalnie 20 punktów.</w:t>
      </w:r>
    </w:p>
    <w:p w14:paraId="716A0AAA">
      <w:pPr>
        <w:pStyle w:val="125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0C280AF4">
      <w:pPr>
        <w:pStyle w:val="125"/>
        <w:jc w:val="both"/>
        <w:rPr>
          <w:color w:val="auto"/>
        </w:rPr>
      </w:pPr>
      <w:r>
        <w:rPr>
          <w:rFonts w:ascii="Calibri" w:hAnsi="Calibri" w:cs="Calibri"/>
          <w:color w:val="auto"/>
          <w:sz w:val="22"/>
          <w:szCs w:val="22"/>
        </w:rPr>
        <w:t>Wybór oferty nastąpi w oparciu o uzyskaną najwyższą liczbę punktów (cena + termin realizacji). Maksymalnie można uzyskać 100 punktów. W ofercie należy odnieść się do każdego z kryteriów. W razie pominięcia lub braku odniesienia się do jednego z kryteriów oferta otrzyma minimalną ocenę w ramach pominiętego kryteri</w:t>
      </w:r>
      <w:r>
        <w:rPr>
          <w:rFonts w:hint="default" w:ascii="Calibri" w:hAnsi="Calibri" w:cs="Calibri"/>
          <w:color w:val="auto"/>
          <w:sz w:val="22"/>
          <w:szCs w:val="22"/>
          <w:lang w:val="pl-PL"/>
        </w:rPr>
        <w:t>um</w:t>
      </w:r>
      <w:r>
        <w:rPr>
          <w:rFonts w:ascii="Calibri" w:hAnsi="Calibri" w:cs="Calibri"/>
          <w:color w:val="auto"/>
          <w:sz w:val="22"/>
          <w:szCs w:val="22"/>
        </w:rPr>
        <w:t xml:space="preserve">. </w:t>
      </w:r>
    </w:p>
    <w:p w14:paraId="7738FB65">
      <w:pPr>
        <w:spacing w:after="23" w:line="247" w:lineRule="auto"/>
        <w:ind w:right="42"/>
        <w:jc w:val="both"/>
        <w:rPr>
          <w:rFonts w:cs="Calibri"/>
          <w:color w:val="FF0000"/>
        </w:rPr>
      </w:pPr>
    </w:p>
    <w:p w14:paraId="601139D7">
      <w:pPr>
        <w:pStyle w:val="7"/>
        <w:numPr>
          <w:ilvl w:val="0"/>
          <w:numId w:val="11"/>
        </w:numPr>
        <w:tabs>
          <w:tab w:val="left" w:pos="709"/>
          <w:tab w:val="clear" w:pos="900"/>
        </w:tabs>
      </w:pPr>
      <w:r>
        <w:rPr>
          <w:rFonts w:ascii="Calibri" w:hAnsi="Calibri" w:cs="Calibri"/>
          <w:sz w:val="22"/>
        </w:rPr>
        <w:t xml:space="preserve">W celu zapewnienia porównywalności wszystkich ofert, Zamawiający zastrzega sobie prawo do skontaktowania się z wybranymi Oferentami w celu weryfikacji zgodności oferowanego produktu z wymaganiami określonymi w specyfikacji. Weryfikacja obejmuje przede wszystkim parametry techniczne i użytkowe. Zamawiający uprawniony jest żądać okazania nośników informacji wskazujących na spełnienie wymagań materiałowych, konstrukcyjnych </w:t>
      </w:r>
      <w:r>
        <w:rPr>
          <w:rFonts w:ascii="Calibri" w:hAnsi="Calibri" w:cs="Calibri"/>
          <w:sz w:val="22"/>
        </w:rPr>
        <w:br w:type="textWrapping"/>
      </w:r>
      <w:r>
        <w:rPr>
          <w:rFonts w:ascii="Calibri" w:hAnsi="Calibri" w:cs="Calibri"/>
          <w:sz w:val="22"/>
        </w:rPr>
        <w:t>i użytkowych – obejmujących deklaracje zgodności, certyfikaty, atesty – niezależnie od formy utrwalenia.</w:t>
      </w:r>
    </w:p>
    <w:p w14:paraId="5979E383">
      <w:pPr>
        <w:pStyle w:val="7"/>
        <w:numPr>
          <w:ilvl w:val="0"/>
          <w:numId w:val="11"/>
        </w:numPr>
        <w:tabs>
          <w:tab w:val="left" w:pos="709"/>
          <w:tab w:val="clear" w:pos="900"/>
        </w:tabs>
      </w:pPr>
      <w:r>
        <w:rPr>
          <w:rFonts w:ascii="Calibri" w:hAnsi="Calibri" w:cs="Calibri"/>
          <w:sz w:val="22"/>
        </w:rPr>
        <w:t>Zamawiający zastrzega sobie prawo do odpowiedzi tylko na wybraną ofertę.</w:t>
      </w:r>
    </w:p>
    <w:p w14:paraId="3419FFC4">
      <w:pPr>
        <w:pStyle w:val="7"/>
        <w:numPr>
          <w:ilvl w:val="0"/>
          <w:numId w:val="11"/>
        </w:numPr>
        <w:tabs>
          <w:tab w:val="left" w:pos="709"/>
          <w:tab w:val="clear" w:pos="900"/>
        </w:tabs>
      </w:pPr>
      <w:r>
        <w:rPr>
          <w:rFonts w:ascii="Calibri" w:hAnsi="Calibri" w:cs="Calibri"/>
          <w:sz w:val="22"/>
        </w:rPr>
        <w:t xml:space="preserve">Zamawiający w trakcie oceny ofert ma możliwość weryfikacji spełnienia warunków udziału </w:t>
      </w:r>
      <w:r>
        <w:rPr>
          <w:rFonts w:ascii="Calibri" w:hAnsi="Calibri" w:cs="Calibri"/>
          <w:sz w:val="22"/>
        </w:rPr>
        <w:br w:type="textWrapping"/>
      </w:r>
      <w:r>
        <w:rPr>
          <w:rFonts w:ascii="Calibri" w:hAnsi="Calibri" w:cs="Calibri"/>
          <w:sz w:val="22"/>
        </w:rPr>
        <w:t xml:space="preserve">w postępowaniu – o ile zostały przewidziane w niniejszym zapytaniu – poprzez żądanie dostarczenia dokumentów potwierdzających spełnianie tych warunków, w szczególności </w:t>
      </w:r>
      <w:r>
        <w:rPr>
          <w:rFonts w:ascii="Calibri" w:hAnsi="Calibri" w:cs="Calibri"/>
          <w:sz w:val="22"/>
        </w:rPr>
        <w:br w:type="textWrapping"/>
      </w:r>
      <w:r>
        <w:rPr>
          <w:rFonts w:ascii="Calibri" w:hAnsi="Calibri" w:cs="Calibri"/>
          <w:sz w:val="22"/>
        </w:rPr>
        <w:t>w postaci dokumentów potwierdzających zdolności techniczne lub zawodowe Wykonawcy oraz uprawnienia do prowadzenia określonej działalności.</w:t>
      </w:r>
    </w:p>
    <w:p w14:paraId="6475E09C">
      <w:pPr>
        <w:pStyle w:val="7"/>
        <w:numPr>
          <w:ilvl w:val="0"/>
          <w:numId w:val="11"/>
        </w:numPr>
        <w:tabs>
          <w:tab w:val="left" w:pos="709"/>
          <w:tab w:val="clear" w:pos="900"/>
        </w:tabs>
      </w:pPr>
      <w:r>
        <w:rPr>
          <w:rFonts w:ascii="Calibri" w:hAnsi="Calibri" w:cs="Calibri"/>
          <w:sz w:val="22"/>
        </w:rPr>
        <w:t xml:space="preserve">Zamawiający zastrzega sobie prawo do wyboru kilku </w:t>
      </w:r>
      <w:r>
        <w:rPr>
          <w:rFonts w:hint="default" w:ascii="Calibri" w:hAnsi="Calibri" w:cs="Calibri"/>
          <w:sz w:val="22"/>
          <w:lang w:val="pl-PL"/>
        </w:rPr>
        <w:t>W</w:t>
      </w:r>
      <w:r>
        <w:rPr>
          <w:rFonts w:ascii="Calibri" w:hAnsi="Calibri" w:cs="Calibri"/>
          <w:sz w:val="22"/>
        </w:rPr>
        <w:t>ykonawców spośród tych, którzy uzyskali największą ilość punktów podczas oceny ofert w ramach poszczególnych części zamówienia.</w:t>
      </w:r>
    </w:p>
    <w:p w14:paraId="1936BBC8">
      <w:pPr>
        <w:pStyle w:val="7"/>
        <w:numPr>
          <w:ilvl w:val="0"/>
          <w:numId w:val="11"/>
        </w:numPr>
        <w:tabs>
          <w:tab w:val="left" w:pos="709"/>
          <w:tab w:val="clear" w:pos="900"/>
        </w:tabs>
      </w:pPr>
      <w:r>
        <w:rPr>
          <w:rFonts w:ascii="Calibri" w:hAnsi="Calibri" w:cs="Calibri"/>
          <w:sz w:val="22"/>
        </w:rPr>
        <w:t xml:space="preserve">W odniesieniu do Wykonawców, którzy spełnili postawione warunki komisja dokona oceny ofert, a Zamawiający udzieli zamówienia Wykonawcy, którego oferta odpowiada wszystkim wymaganiom określonym w niniejszym zapytaniu i została oceniona jako najkorzystniejsza </w:t>
      </w:r>
      <w:r>
        <w:rPr>
          <w:rFonts w:ascii="Calibri" w:hAnsi="Calibri" w:cs="Calibri"/>
          <w:sz w:val="22"/>
        </w:rPr>
        <w:br w:type="textWrapping"/>
      </w:r>
      <w:r>
        <w:rPr>
          <w:rFonts w:ascii="Calibri" w:hAnsi="Calibri" w:cs="Calibri"/>
          <w:sz w:val="22"/>
        </w:rPr>
        <w:t>w oparciu o podane kryteria wyboru, podpisując umowę.</w:t>
      </w:r>
    </w:p>
    <w:p w14:paraId="33246252">
      <w:pPr>
        <w:pStyle w:val="7"/>
        <w:numPr>
          <w:ilvl w:val="0"/>
          <w:numId w:val="11"/>
        </w:numPr>
        <w:tabs>
          <w:tab w:val="left" w:pos="709"/>
          <w:tab w:val="clear" w:pos="9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celu zapewnienia preferencji dla PES, Zamawiający zastrzega, że w przypadku uzyskania takiej samej oceny, pierwszeństwo w wyborze jako najkorzystniejsza będzie miała oferta złożona przez PES.</w:t>
      </w:r>
    </w:p>
    <w:p w14:paraId="4F85068F">
      <w:pPr>
        <w:pStyle w:val="7"/>
        <w:numPr>
          <w:ilvl w:val="0"/>
          <w:numId w:val="11"/>
        </w:numPr>
        <w:tabs>
          <w:tab w:val="left" w:pos="709"/>
          <w:tab w:val="clear" w:pos="9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przypadku, gdy została złożona jedna oferta, której cena przewyższa kwotę przeznaczoną przez Zamawiającego na realizację zamówienia, Zamawiający zastrzega sobie możliwość podjęcia negocjacji z Wykonawcą mających na celu wyłącznie obniżenie ceny (przy zachowaniu wszystkich pozostałych warunków określonych w specyfikacji oraz w ofercie).</w:t>
      </w:r>
    </w:p>
    <w:p w14:paraId="0220F9B5">
      <w:pPr>
        <w:pStyle w:val="7"/>
        <w:numPr>
          <w:ilvl w:val="0"/>
          <w:numId w:val="11"/>
        </w:numPr>
        <w:tabs>
          <w:tab w:val="left" w:pos="709"/>
          <w:tab w:val="clear" w:pos="900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zastrzega sobie możliwość odstąpienia od realizacji zamówienia w przypadku, gdy zaproponowane ceny przekroczą budżet projektu przewidziany na realizację zamówienia.</w:t>
      </w:r>
    </w:p>
    <w:p w14:paraId="63CEABD7">
      <w:pPr>
        <w:spacing w:after="23" w:line="247" w:lineRule="auto"/>
        <w:ind w:right="42"/>
        <w:jc w:val="both"/>
        <w:rPr>
          <w:rFonts w:cs="Calibri"/>
        </w:rPr>
      </w:pPr>
    </w:p>
    <w:p w14:paraId="3348B230">
      <w:pPr>
        <w:spacing w:after="23" w:line="247" w:lineRule="auto"/>
        <w:ind w:right="42"/>
        <w:jc w:val="both"/>
        <w:rPr>
          <w:rFonts w:cs="Calibri"/>
        </w:rPr>
      </w:pPr>
    </w:p>
    <w:p w14:paraId="06E8B07C">
      <w:pPr>
        <w:pStyle w:val="3"/>
        <w:spacing w:before="0" w:after="200" w:line="240" w:lineRule="auto"/>
        <w:jc w:val="both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u w:val="single"/>
        </w:rPr>
        <w:t>Termin składania ofert, sposób przygotowania i złożenia oferty:</w:t>
      </w:r>
    </w:p>
    <w:p w14:paraId="27C73EBE">
      <w:pPr>
        <w:numPr>
          <w:ilvl w:val="0"/>
          <w:numId w:val="12"/>
        </w:numPr>
        <w:spacing w:after="23" w:line="247" w:lineRule="auto"/>
        <w:ind w:left="426" w:right="42"/>
        <w:jc w:val="both"/>
      </w:pPr>
      <w:r>
        <w:rPr>
          <w:rFonts w:cs="Calibri"/>
        </w:rPr>
        <w:t>Ofertę należy sporządzić w języku polskim.</w:t>
      </w:r>
    </w:p>
    <w:p w14:paraId="21BED39F">
      <w:pPr>
        <w:numPr>
          <w:ilvl w:val="0"/>
          <w:numId w:val="12"/>
        </w:numPr>
        <w:spacing w:after="23" w:line="247" w:lineRule="auto"/>
        <w:ind w:left="426" w:right="42"/>
        <w:jc w:val="both"/>
      </w:pPr>
      <w:r>
        <w:rPr>
          <w:rFonts w:cs="Calibri"/>
        </w:rPr>
        <w:t xml:space="preserve">Oferta musi zawierać: </w:t>
      </w:r>
    </w:p>
    <w:p w14:paraId="30C93103">
      <w:pPr>
        <w:numPr>
          <w:ilvl w:val="1"/>
          <w:numId w:val="13"/>
        </w:numPr>
        <w:spacing w:after="23" w:line="247" w:lineRule="auto"/>
        <w:ind w:right="42"/>
        <w:jc w:val="both"/>
      </w:pPr>
      <w:r>
        <w:rPr>
          <w:rFonts w:cs="Calibri"/>
        </w:rPr>
        <w:t xml:space="preserve">Wypełniony formularz ofertowy wraz z oświadczeniem o braku powiązań kapitałowych i osobowych z Zamawiającym zgodny ze wzorem określonym w </w:t>
      </w:r>
      <w:r>
        <w:rPr>
          <w:rFonts w:eastAsia="Calibri" w:cs="Calibri"/>
        </w:rPr>
        <w:t>Załączniku nr 1,</w:t>
      </w:r>
    </w:p>
    <w:p w14:paraId="316A070C">
      <w:pPr>
        <w:numPr>
          <w:ilvl w:val="1"/>
          <w:numId w:val="13"/>
        </w:numPr>
        <w:spacing w:after="23" w:line="247" w:lineRule="auto"/>
        <w:ind w:right="42"/>
        <w:jc w:val="both"/>
      </w:pPr>
      <w:r>
        <w:rPr>
          <w:rFonts w:cs="Calibri"/>
        </w:rPr>
        <w:t xml:space="preserve">Oświadczenie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 – zgodnie z Załącznikiem nr 2,</w:t>
      </w:r>
    </w:p>
    <w:p w14:paraId="4B9D31B9">
      <w:pPr>
        <w:numPr>
          <w:ilvl w:val="1"/>
          <w:numId w:val="13"/>
        </w:numPr>
        <w:spacing w:after="23" w:line="247" w:lineRule="auto"/>
        <w:ind w:right="42"/>
        <w:jc w:val="both"/>
      </w:pPr>
      <w:r>
        <w:rPr>
          <w:rFonts w:cs="Calibri"/>
        </w:rPr>
        <w:t xml:space="preserve">Oświadczenie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 – termin – zgodnie z Załącznikiem nr 3,</w:t>
      </w:r>
    </w:p>
    <w:p w14:paraId="6889624B">
      <w:pPr>
        <w:numPr>
          <w:ilvl w:val="1"/>
          <w:numId w:val="13"/>
        </w:numPr>
        <w:spacing w:after="23" w:line="247" w:lineRule="auto"/>
        <w:ind w:right="42"/>
        <w:jc w:val="both"/>
      </w:pPr>
      <w:r>
        <w:t>Oświadczenie związane z ustawą o szczególnych rozwiązaniach w zakresie przeciwdziałania wspieraniu agresji na Ukrainę oraz służących ochronie bezpieczeństwa narodowego – zgodnie z Załącznikiem nr 4.</w:t>
      </w:r>
    </w:p>
    <w:p w14:paraId="798CBA26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Podpisaną ofertę wraz z podpisanymi ww. załącznikami należy złożyć poprzez Bazę Konkurencyjności 2021 (dalej: BK2021) do godziny 09.00 dnia 2</w:t>
      </w:r>
      <w:r>
        <w:rPr>
          <w:rFonts w:hint="default" w:cs="Calibri"/>
          <w:lang w:val="pl-PL"/>
        </w:rPr>
        <w:t>5</w:t>
      </w:r>
      <w:r>
        <w:rPr>
          <w:rFonts w:cs="Calibri"/>
        </w:rPr>
        <w:t xml:space="preserve">.11.2024 r. O terminowym złożeniu oferty decyduje data złożenia oferty za pośrednictwem BK2021. Oferty, które wpłyną po terminie zostaną odrzucone. Ofertę i załączniki należy podpisać i wysłać w formie skanów dokumentów lub złożyć ofertę i załączniki podpisane podpisem elektronicznym kwalifikowanym lub podpisem elektronicznym zaufanym. </w:t>
      </w:r>
    </w:p>
    <w:p w14:paraId="26CE3B04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Oferty niekompletne lub niezgodne z warunkami udziału w postępowaniu, będą odrzucone.</w:t>
      </w:r>
    </w:p>
    <w:p w14:paraId="50BAE1FE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Pytania do niniejszego zapytania należy kierować przez Bazę Konkurencyjności.</w:t>
      </w:r>
    </w:p>
    <w:p w14:paraId="457CF133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 xml:space="preserve">Wykonawca może złożyć jedną ofertę. Złożenie więcej niż jednej oferty lub złożenie oferty zawierającej propozycje alternatywne spowoduje odrzucenie wszystkich ofert złożonych przez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ykonawcę.</w:t>
      </w:r>
    </w:p>
    <w:p w14:paraId="653DFE41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 xml:space="preserve">Oferta wraz z załącznikami musi być podpisana przez osobę upoważnioną do reprezentowania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ykonawcy.</w:t>
      </w:r>
    </w:p>
    <w:p w14:paraId="164FDD75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Jeżeli osoba podpisująca ofertę działa na podstawie pełnomocnictwa to pełnomocnictwo to musi w swej treści jednoznacznie wskazywać uprawnienie do podpisania oferty. Pełnomocnictwo to musi zostać dołączone do oferty.</w:t>
      </w:r>
    </w:p>
    <w:p w14:paraId="10EF7CD1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W przypadku, gdy informacje zawarte w ofercie stanowią tajemnicę przedsiębiorstwa w rozumieniu przepisów ustawy o zwalczaniu nieuczciwej konkurencji, co do których Wykonawca zastrzega, że nie mogą być udostępniane innym uczestnikom postępowania, muszą być oznaczone klauzulą: „Informacje stanowiące tajemnicę przedsiębiorstwa w rozumieniu ustawy o zwalczaniu nieuczciwej konkurencji” i dołączone do oferty.</w:t>
      </w:r>
    </w:p>
    <w:p w14:paraId="4E9410F4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Wykonawca ponosi wszelkie koszty związane z przygotowaniem i złożeniem oferty.</w:t>
      </w:r>
    </w:p>
    <w:p w14:paraId="215B2EDE">
      <w:pPr>
        <w:numPr>
          <w:ilvl w:val="0"/>
          <w:numId w:val="12"/>
        </w:numPr>
        <w:spacing w:after="0" w:line="240" w:lineRule="auto"/>
        <w:ind w:left="426" w:right="42"/>
        <w:jc w:val="both"/>
      </w:pPr>
      <w:r>
        <w:rPr>
          <w:rFonts w:cs="Calibri"/>
        </w:rPr>
        <w:t>Zamawiający może unieważnić postępowanie o udzielenie zamówienia przed upływem terminu składania ofert, jeżeli wystąpiły okoliczności powodujące, że dalsze prowadzenie postępowania jest nieuzasadnione.</w:t>
      </w:r>
    </w:p>
    <w:p w14:paraId="4221C667">
      <w:pPr>
        <w:pStyle w:val="3"/>
        <w:spacing w:before="240" w:after="200" w:line="240" w:lineRule="auto"/>
        <w:jc w:val="both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u w:val="single"/>
        </w:rPr>
        <w:t xml:space="preserve">Określenie warunków zmian umowy </w:t>
      </w:r>
    </w:p>
    <w:p w14:paraId="24C52966">
      <w:pPr>
        <w:spacing w:before="120"/>
        <w:ind w:right="6"/>
        <w:jc w:val="both"/>
      </w:pPr>
      <w:r>
        <w:rPr>
          <w:rFonts w:cs="Calibri"/>
        </w:rPr>
        <w:t>Zamawiający dopuszcza możliwość zmiany postanowień treści zawartej umowy w stosunku do treści oferty, na podstawie, której dokonano wyboru Wykonawcy w przypadku wystąpienia następujących okoliczności:</w:t>
      </w:r>
    </w:p>
    <w:p w14:paraId="3AD1E893">
      <w:pPr>
        <w:pStyle w:val="124"/>
        <w:numPr>
          <w:ilvl w:val="0"/>
          <w:numId w:val="14"/>
        </w:numPr>
        <w:spacing w:after="206" w:line="264" w:lineRule="auto"/>
        <w:ind w:right="3"/>
        <w:jc w:val="both"/>
      </w:pPr>
      <w:r>
        <w:rPr>
          <w:rFonts w:ascii="Calibri" w:hAnsi="Calibri" w:cs="Calibri"/>
          <w:sz w:val="22"/>
          <w:szCs w:val="22"/>
        </w:rPr>
        <w:t>zmiana terminu przewidzianego na rozpoczęcie lub zakończenie usługi o nie więcej niż 30 dni, w sytuacji, gdy brak możliwości zachowania pierwotnego terminu spowodowany jest wystąpieniem nieprzewidzianych okoliczności,</w:t>
      </w:r>
    </w:p>
    <w:p w14:paraId="21D423EC">
      <w:pPr>
        <w:pStyle w:val="124"/>
        <w:numPr>
          <w:ilvl w:val="0"/>
          <w:numId w:val="14"/>
        </w:numPr>
        <w:spacing w:after="206" w:line="264" w:lineRule="auto"/>
        <w:ind w:right="3"/>
        <w:jc w:val="both"/>
      </w:pPr>
      <w:r>
        <w:rPr>
          <w:rFonts w:ascii="Calibri" w:hAnsi="Calibri" w:cs="Calibri"/>
          <w:sz w:val="22"/>
          <w:szCs w:val="22"/>
        </w:rPr>
        <w:t>zmiany spowodowane:</w:t>
      </w:r>
    </w:p>
    <w:p w14:paraId="6272EA60">
      <w:pPr>
        <w:pStyle w:val="124"/>
        <w:numPr>
          <w:ilvl w:val="0"/>
          <w:numId w:val="15"/>
        </w:numPr>
        <w:spacing w:after="206" w:line="264" w:lineRule="auto"/>
        <w:ind w:left="851" w:right="3" w:hanging="284"/>
        <w:jc w:val="both"/>
      </w:pPr>
      <w:r>
        <w:rPr>
          <w:rFonts w:ascii="Calibri" w:hAnsi="Calibri" w:cs="Calibri"/>
          <w:sz w:val="22"/>
          <w:szCs w:val="22"/>
        </w:rPr>
        <w:t xml:space="preserve">siłą wyższą uniemożliwiającą wykonanie przedmiotu umowy zgodnie z zapytaniem ofertowym, </w:t>
      </w:r>
    </w:p>
    <w:p w14:paraId="6D965650">
      <w:pPr>
        <w:pStyle w:val="124"/>
        <w:numPr>
          <w:ilvl w:val="0"/>
          <w:numId w:val="15"/>
        </w:numPr>
        <w:spacing w:after="206" w:line="264" w:lineRule="auto"/>
        <w:ind w:left="851" w:right="3" w:hanging="284"/>
        <w:jc w:val="both"/>
      </w:pPr>
      <w:r>
        <w:rPr>
          <w:rFonts w:ascii="Calibri" w:hAnsi="Calibri" w:cs="Calibri"/>
          <w:sz w:val="22"/>
          <w:szCs w:val="22"/>
        </w:rPr>
        <w:t>zmianą obowiązującej stawki podatku VAT,</w:t>
      </w:r>
    </w:p>
    <w:p w14:paraId="3B7A3B6A">
      <w:pPr>
        <w:pStyle w:val="124"/>
        <w:numPr>
          <w:ilvl w:val="0"/>
          <w:numId w:val="15"/>
        </w:numPr>
        <w:spacing w:after="206" w:line="264" w:lineRule="auto"/>
        <w:ind w:left="851" w:right="3" w:hanging="284"/>
        <w:jc w:val="both"/>
      </w:pPr>
      <w:r>
        <w:rPr>
          <w:rFonts w:ascii="Calibri" w:hAnsi="Calibri" w:cs="Calibri"/>
          <w:sz w:val="22"/>
          <w:szCs w:val="22"/>
        </w:rPr>
        <w:t>zmianą unormowań prawnych powszechnie obowiązujących, które będą miały wpływ na realizację umowy – zmianami formalno-organizacyjnymi.</w:t>
      </w:r>
    </w:p>
    <w:p w14:paraId="5B463131">
      <w:pPr>
        <w:ind w:right="3"/>
        <w:jc w:val="both"/>
      </w:pPr>
      <w:r>
        <w:rPr>
          <w:rFonts w:cs="Calibri"/>
        </w:rPr>
        <w:t>Przewidziane wyżej okoliczności stanowiące podstawę zmian do umowy, stanowią uprawnienie Zamawiającego, a nie jego obowiązek wprowadzenia takich zmian. Warunki zmiany umowy nie przyznają Wykonawcy jakiegokolwiek roszczenia o zmianę zawartej umowy.</w:t>
      </w:r>
    </w:p>
    <w:p w14:paraId="2ED9FCEB">
      <w:pPr>
        <w:pStyle w:val="3"/>
        <w:spacing w:before="0" w:after="200" w:line="240" w:lineRule="auto"/>
        <w:jc w:val="both"/>
        <w:rPr>
          <w:color w:val="auto"/>
        </w:rPr>
      </w:pPr>
      <w:r>
        <w:rPr>
          <w:rFonts w:ascii="Calibri" w:hAnsi="Calibri" w:cs="Calibri"/>
          <w:b/>
          <w:color w:val="auto"/>
          <w:sz w:val="22"/>
          <w:u w:val="single"/>
        </w:rPr>
        <w:t xml:space="preserve">Postanowienia dodatkowe i końcowe </w:t>
      </w:r>
    </w:p>
    <w:p w14:paraId="7BC88E39">
      <w:pPr>
        <w:numPr>
          <w:ilvl w:val="0"/>
          <w:numId w:val="16"/>
        </w:numPr>
        <w:spacing w:after="0" w:line="250" w:lineRule="auto"/>
        <w:ind w:right="40"/>
        <w:jc w:val="both"/>
      </w:pPr>
      <w:r>
        <w:rPr>
          <w:rFonts w:cs="Calibri"/>
        </w:rPr>
        <w:t>Komunikacja w postępowaniu o udzielenie zamówienia, w tym ogłoszenie zapytania ofertowego, składanie ofert, wymiana informacji między Zamawiającym a Wykonawcą oraz przekazywanie dokumentów i oświadczeń odbywa się pisemnie za pomocą BK2021.</w:t>
      </w:r>
    </w:p>
    <w:p w14:paraId="54B0204A">
      <w:pPr>
        <w:numPr>
          <w:ilvl w:val="0"/>
          <w:numId w:val="16"/>
        </w:numPr>
        <w:spacing w:after="0" w:line="250" w:lineRule="auto"/>
        <w:ind w:left="357" w:right="40" w:hanging="357"/>
        <w:jc w:val="both"/>
      </w:pPr>
      <w:r>
        <w:rPr>
          <w:rFonts w:cs="Calibri"/>
        </w:rPr>
        <w:t>Zamawiający nie dopuszcza składania ofert wariantowych.</w:t>
      </w:r>
    </w:p>
    <w:p w14:paraId="03D394D9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Zamawiający zapłaci za faktycznie wykonaną dostawę na podstawie faktury wystawionej przez Wykonawcę. </w:t>
      </w:r>
    </w:p>
    <w:p w14:paraId="6701F3C4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Zapłata zostanie dokonana w terminie do 30 dni po otrzymaniu poprawnie wystawionej faktury. </w:t>
      </w:r>
    </w:p>
    <w:p w14:paraId="50F1831D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Wykonawca ponosi wszelkie koszty własne związane z przygotowaniem i złożeniem oferty, niezależnie od wyniku postępowania. Zamawiający nie odpowiada za koszty poniesione przez Wykonawcę w związku z przygotowaniem i złożeniem oferty. </w:t>
      </w:r>
    </w:p>
    <w:p w14:paraId="5C3FD25D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Jeżeli Wykonawca, którego oferta została wybrana, uchyla się od zawarcia umowy, Zamawiający może wybrać ofertę najkorzystniejszą spośród pozostałych ofert. </w:t>
      </w:r>
    </w:p>
    <w:p w14:paraId="17762A08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Termin związania ofertą: 14 dni kalendarzowych. </w:t>
      </w:r>
    </w:p>
    <w:p w14:paraId="2B372C21">
      <w:pPr>
        <w:numPr>
          <w:ilvl w:val="0"/>
          <w:numId w:val="16"/>
        </w:numPr>
        <w:spacing w:after="23" w:line="247" w:lineRule="auto"/>
        <w:ind w:right="42"/>
        <w:jc w:val="both"/>
      </w:pPr>
      <w:r>
        <w:rPr>
          <w:rFonts w:cs="Calibri"/>
        </w:rPr>
        <w:t xml:space="preserve">Złożenie oferty jest jednoznaczne z zaakceptowaniem powyższych zasad. </w:t>
      </w:r>
    </w:p>
    <w:p w14:paraId="7EA4C2CE">
      <w:pPr>
        <w:ind w:right="3"/>
        <w:jc w:val="both"/>
        <w:rPr>
          <w:rFonts w:cs="Calibri"/>
          <w:color w:val="FF0000"/>
        </w:rPr>
      </w:pPr>
    </w:p>
    <w:p w14:paraId="79753768">
      <w:pPr>
        <w:ind w:right="3"/>
        <w:jc w:val="both"/>
        <w:rPr>
          <w:rFonts w:cs="Calibri"/>
          <w:b/>
          <w:bCs/>
          <w:u w:val="single"/>
        </w:rPr>
      </w:pPr>
      <w:r>
        <w:rPr>
          <w:rFonts w:cs="Calibri"/>
          <w:b/>
          <w:bCs/>
          <w:u w:val="single"/>
        </w:rPr>
        <w:t>Obowiązek informacyjny w związku ze zbieraniem danych osobowych bezpośrednio od osoby fizycznej, której dane dotyczą</w:t>
      </w:r>
    </w:p>
    <w:p w14:paraId="34ADEDAF">
      <w:pPr>
        <w:pStyle w:val="132"/>
        <w:numPr>
          <w:ilvl w:val="0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Zgodnie z art. 13 ust. 1 i 2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dalej: RODO, informuję, że:</w:t>
      </w:r>
    </w:p>
    <w:p w14:paraId="0F841471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 xml:space="preserve">Administratorem danych osobowych przetwarzanych w związku z postępowaniem </w:t>
      </w:r>
      <w:r>
        <w:rPr>
          <w:rFonts w:cs="Calibri"/>
        </w:rPr>
        <w:br w:type="textWrapping"/>
      </w:r>
      <w:r>
        <w:rPr>
          <w:rFonts w:cs="Calibri"/>
        </w:rPr>
        <w:t>o udzieleni zamówienia jest Zamawiający.</w:t>
      </w:r>
    </w:p>
    <w:p w14:paraId="5910D990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 xml:space="preserve">W sprawach związanych z przetwarzaniem danych osobowych, można kontaktować się </w:t>
      </w:r>
      <w:r>
        <w:rPr>
          <w:rFonts w:cs="Calibri"/>
        </w:rPr>
        <w:br w:type="textWrapping"/>
      </w:r>
      <w:r>
        <w:rPr>
          <w:rFonts w:cs="Calibri"/>
        </w:rPr>
        <w:t>z Inspektorem Ochrony Danych za pośrednictwem adresu e-mail: iod@zdz.torun.pl</w:t>
      </w:r>
    </w:p>
    <w:p w14:paraId="76775116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Pani/Pana dane osobowe przetwarzane będą na podstawie art. 6 ust. 1 lit. c RODO w celu związanym z przedmiotowym postępowaniem o udzielenie zamówienia publicznego.</w:t>
      </w:r>
    </w:p>
    <w:p w14:paraId="5A6EA8C9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Odbiorcami Pani/Pana danych osobowych będą osoby lub podmioty, którym udostępniona zostanie dokumentacja postępowania w ramach realizacji zasady jawności postępowania oraz dostępu do informacji publicznej – jeżeli dane będą podlegały takiej kwalifikacji.</w:t>
      </w:r>
    </w:p>
    <w:p w14:paraId="624E0128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Pani/Pana dane osobowe będą przechowywane przez okres 4 lat od dnia zakończenia postępowania o udzielenie zamówienia, a jeżeli czas trwania umowy przekracza 4 lata, okres przechowywania obejmuje cały czas trwania umowy;</w:t>
      </w:r>
    </w:p>
    <w:p w14:paraId="658F4913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Obowiązek podania przez Panią/Pana danych osobowych bezpośrednio Pani/Pana dotyczących jest wymogiem ustawowym określonym w przepisanych ustawy wdrożeniowej, związanym z udziałem w postępowaniu o udzielenie zamówień.</w:t>
      </w:r>
    </w:p>
    <w:p w14:paraId="44F34D2C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W odniesieniu do Pani/Pana danych osobowych decyzje nie będą podejmowane w sposób zautomatyzowany, stosownie do art. 22 RODO.</w:t>
      </w:r>
    </w:p>
    <w:p w14:paraId="44E460B5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Posiada Pani/Pan:</w:t>
      </w:r>
    </w:p>
    <w:p w14:paraId="085EE3C9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</w:t>
      </w:r>
      <w:r>
        <w:rPr>
          <w:rFonts w:cs="Calibri"/>
        </w:rPr>
        <w:br w:type="textWrapping"/>
      </w:r>
      <w:r>
        <w:rPr>
          <w:rFonts w:cs="Calibri"/>
        </w:rPr>
        <w:t>w szczególności podania nazwy lub daty postępowania o udzielenie zamówienia publicznego lub konkursu albo sprecyzowanie nazwy lub daty zakończonego postępowania o udzielenie zamówienia);</w:t>
      </w:r>
    </w:p>
    <w:p w14:paraId="54C2DE59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 xml:space="preserve">na podstawie art. 16 RODO prawo do sprostowania Pani/Pana danych osobowych (skorzystanie z prawa do sprostowania nie może skutkować zmianą wyniku postępowania udzielenie zamówienia publicznego ani zmianą postanowień umowy </w:t>
      </w:r>
      <w:r>
        <w:rPr>
          <w:rFonts w:cs="Calibri"/>
        </w:rPr>
        <w:br w:type="textWrapping"/>
      </w:r>
      <w:r>
        <w:rPr>
          <w:rFonts w:cs="Calibri"/>
        </w:rPr>
        <w:t>w zakresie niezgodnym z ustawą Pzp oraz nie może naruszać integralności protokołu oraz jego załączników);</w:t>
      </w:r>
    </w:p>
    <w:p w14:paraId="52D8D725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 xml:space="preserve">na podstawie art. 18 RODO prawo żądania od administratora ograniczenia przetwarzania danych osobowych z zastrzeżeniem okresu trwania postępowania </w:t>
      </w:r>
      <w:r>
        <w:rPr>
          <w:rFonts w:cs="Calibri"/>
        </w:rPr>
        <w:br w:type="textWrapping"/>
      </w:r>
      <w:r>
        <w:rPr>
          <w:rFonts w:cs="Calibri"/>
        </w:rPr>
        <w:t xml:space="preserve">o udzielenie zamówienia publicznego lub konkursu oraz przypadków, o których mowa w art. 18 ust. 2 RODO (prawo do ograniczenia przetwarzania nie ma zastosowania </w:t>
      </w:r>
      <w:r>
        <w:rPr>
          <w:rFonts w:cs="Calibri"/>
        </w:rPr>
        <w:br w:type="textWrapping"/>
      </w:r>
      <w:r>
        <w:rPr>
          <w:rFonts w:cs="Calibri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63C285F9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prawo do wniesienia skargi do Prezesa Urzędu Ochrony Danych Osobowych, gdy uzna Pani/Pan, że przetwarzanie danych osobowych Pani/Pana dotyczących narusza przepisy RODO.</w:t>
      </w:r>
    </w:p>
    <w:p w14:paraId="389A9200">
      <w:pPr>
        <w:pStyle w:val="132"/>
        <w:numPr>
          <w:ilvl w:val="1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Nie przysługuje Pani/Panu:</w:t>
      </w:r>
    </w:p>
    <w:p w14:paraId="1CDFDD19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w związku z art. 17 ust. 3 lit. b, d lub e RODO prawo do usunięcia danych osobowych;</w:t>
      </w:r>
    </w:p>
    <w:p w14:paraId="5331CC6A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prawo do przenoszenia danych osobowych, o którym mowa w art. 20 RODO;</w:t>
      </w:r>
    </w:p>
    <w:p w14:paraId="387BF186">
      <w:pPr>
        <w:pStyle w:val="132"/>
        <w:numPr>
          <w:ilvl w:val="2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na podstawie art. 21 RODO prawo sprzeciwu, wobec przetwarzania danych osobowych, gdyż podstawą prawną przetwarzania Pani/Pana danych osobowych jest art. 6 ust. 1 lit. c RODO.</w:t>
      </w:r>
    </w:p>
    <w:p w14:paraId="26AD175F">
      <w:pPr>
        <w:pStyle w:val="132"/>
        <w:numPr>
          <w:ilvl w:val="0"/>
          <w:numId w:val="17"/>
        </w:numPr>
        <w:ind w:right="3"/>
        <w:jc w:val="both"/>
        <w:rPr>
          <w:rFonts w:cs="Calibri"/>
        </w:rPr>
      </w:pPr>
      <w:r>
        <w:rPr>
          <w:rFonts w:cs="Calibri"/>
        </w:rPr>
        <w:t>Przysługuje Pani/Panu prawo wniesienia skargi do organu nadzorczego na niezgodne z RODO przetwarzanie Pani/Pana danych osobowych przez administratora. Organem właściwym dla przedmiotowej skargi jest Prezes Urzędu Ochrony Danych Osobowych, ul. Stawki 2, 00-193 Warszawa.</w:t>
      </w:r>
    </w:p>
    <w:p w14:paraId="11D24A5B">
      <w:pPr>
        <w:ind w:right="3"/>
        <w:jc w:val="both"/>
        <w:rPr>
          <w:rFonts w:cs="Calibri"/>
        </w:rPr>
      </w:pPr>
      <w:r>
        <w:rPr>
          <w:rFonts w:cs="Calibri"/>
        </w:rPr>
        <w:t xml:space="preserve">Załączniki: </w:t>
      </w:r>
    </w:p>
    <w:p w14:paraId="4B7B3FBA">
      <w:pPr>
        <w:numPr>
          <w:ilvl w:val="0"/>
          <w:numId w:val="18"/>
        </w:numPr>
        <w:spacing w:after="23" w:line="247" w:lineRule="auto"/>
        <w:ind w:right="42"/>
        <w:jc w:val="both"/>
      </w:pPr>
      <w:r>
        <w:rPr>
          <w:rFonts w:cs="Calibri"/>
        </w:rPr>
        <w:t xml:space="preserve">Załącznik nr 1 – Formularz ofertowy wraz z oświadczeniem o braku powiązań osobowych </w:t>
      </w:r>
      <w:r>
        <w:rPr>
          <w:rFonts w:cs="Calibri"/>
        </w:rPr>
        <w:br w:type="textWrapping"/>
      </w:r>
      <w:r>
        <w:rPr>
          <w:rFonts w:cs="Calibri"/>
        </w:rPr>
        <w:t>i kapitałowych,</w:t>
      </w:r>
    </w:p>
    <w:p w14:paraId="5248A506">
      <w:pPr>
        <w:numPr>
          <w:ilvl w:val="0"/>
          <w:numId w:val="18"/>
        </w:numPr>
        <w:spacing w:after="23" w:line="247" w:lineRule="auto"/>
        <w:ind w:right="42"/>
        <w:jc w:val="both"/>
      </w:pPr>
      <w:r>
        <w:rPr>
          <w:rFonts w:cs="Calibri"/>
        </w:rPr>
        <w:t xml:space="preserve">Załącznik nr 2 – Oświadczenie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</w:t>
      </w:r>
      <w:r>
        <w:rPr>
          <w:rFonts w:hint="default" w:cs="Calibri"/>
          <w:lang w:val="pl-PL"/>
        </w:rPr>
        <w:t>,</w:t>
      </w:r>
    </w:p>
    <w:p w14:paraId="47EFCAF2">
      <w:pPr>
        <w:numPr>
          <w:ilvl w:val="0"/>
          <w:numId w:val="18"/>
        </w:numPr>
        <w:spacing w:after="23" w:line="247" w:lineRule="auto"/>
        <w:ind w:right="42"/>
        <w:jc w:val="both"/>
      </w:pPr>
      <w:r>
        <w:rPr>
          <w:rFonts w:cs="Calibri"/>
        </w:rPr>
        <w:t xml:space="preserve">Załącznik nr 3 – Oświadczenie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</w:t>
      </w:r>
      <w:r>
        <w:rPr>
          <w:rFonts w:hint="default" w:cs="Calibri"/>
          <w:lang w:val="pl-PL"/>
        </w:rPr>
        <w:t xml:space="preserve"> </w:t>
      </w:r>
      <w:r>
        <w:rPr>
          <w:rFonts w:cs="Calibri"/>
        </w:rPr>
        <w:t>- termin,</w:t>
      </w:r>
    </w:p>
    <w:p w14:paraId="554971BE">
      <w:pPr>
        <w:numPr>
          <w:ilvl w:val="0"/>
          <w:numId w:val="18"/>
        </w:numPr>
        <w:spacing w:after="23" w:line="247" w:lineRule="auto"/>
        <w:ind w:right="42"/>
        <w:jc w:val="both"/>
      </w:pPr>
      <w:r>
        <w:t>Załącznik nr 4 – Oświadczenie związane z ustawą o szczególnych rozwiązaniach w zakresie przeciwdziałania wspieraniu agresji na Ukrainę oraz służących ochronie bezpieczeństwa narodowego,</w:t>
      </w:r>
    </w:p>
    <w:p w14:paraId="7D9D58F7">
      <w:pPr>
        <w:numPr>
          <w:ilvl w:val="0"/>
          <w:numId w:val="18"/>
        </w:numPr>
        <w:spacing w:after="23" w:line="247" w:lineRule="auto"/>
        <w:ind w:right="42"/>
        <w:jc w:val="both"/>
      </w:pPr>
      <w:r>
        <w:rPr>
          <w:rFonts w:cs="Calibri"/>
        </w:rPr>
        <w:t>Załącznik nr 5 – Wzór umowy.</w:t>
      </w:r>
    </w:p>
    <w:p w14:paraId="5F41BC1D">
      <w:pPr>
        <w:spacing w:after="0"/>
        <w:rPr>
          <w:rFonts w:cs="Calibri"/>
          <w:color w:val="FF0000"/>
        </w:rPr>
      </w:pPr>
    </w:p>
    <w:sectPr>
      <w:headerReference r:id="rId6" w:type="first"/>
      <w:headerReference r:id="rId5" w:type="default"/>
      <w:pgSz w:w="11906" w:h="16838"/>
      <w:pgMar w:top="851" w:right="1417" w:bottom="1135" w:left="1417" w:header="426" w:footer="708" w:gutter="0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2"/>
    <w:multiLevelType w:val="multilevel"/>
    <w:tmpl w:val="00000002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hint="default" w:ascii="Calibri" w:hAnsi="Calibri" w:eastAsia="Calibri" w:cs="Calibri"/>
        <w:b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 w:tentative="0">
      <w:start w:val="1"/>
      <w:numFmt w:val="bullet"/>
      <w:lvlText w:val="•"/>
      <w:lvlJc w:val="left"/>
      <w:pPr>
        <w:tabs>
          <w:tab w:val="left" w:pos="0"/>
        </w:tabs>
        <w:ind w:left="720" w:hanging="360"/>
      </w:pPr>
      <w:rPr>
        <w:rFonts w:ascii="Arial" w:hAnsi="Arial" w:cs="Arial"/>
        <w:b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 w:tentative="0">
      <w:start w:val="1"/>
      <w:numFmt w:val="bullet"/>
      <w:lvlText w:val="▪"/>
      <w:lvlJc w:val="left"/>
      <w:pPr>
        <w:tabs>
          <w:tab w:val="left" w:pos="0"/>
        </w:tabs>
        <w:ind w:left="14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 w:tentative="0">
      <w:start w:val="1"/>
      <w:numFmt w:val="bullet"/>
      <w:lvlText w:val="•"/>
      <w:lvlJc w:val="left"/>
      <w:pPr>
        <w:tabs>
          <w:tab w:val="left" w:pos="0"/>
        </w:tabs>
        <w:ind w:left="216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288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 w:tentative="0">
      <w:start w:val="1"/>
      <w:numFmt w:val="bullet"/>
      <w:lvlText w:val="▪"/>
      <w:lvlJc w:val="left"/>
      <w:pPr>
        <w:tabs>
          <w:tab w:val="left" w:pos="0"/>
        </w:tabs>
        <w:ind w:left="360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 w:tentative="0">
      <w:start w:val="1"/>
      <w:numFmt w:val="bullet"/>
      <w:lvlText w:val="•"/>
      <w:lvlJc w:val="left"/>
      <w:pPr>
        <w:tabs>
          <w:tab w:val="left" w:pos="0"/>
        </w:tabs>
        <w:ind w:left="4320" w:hanging="360"/>
      </w:pPr>
      <w:rPr>
        <w:rFonts w:ascii="Arial" w:hAnsi="Arial" w:cs="Aria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04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 w:tentative="0">
      <w:start w:val="1"/>
      <w:numFmt w:val="bullet"/>
      <w:lvlText w:val="▪"/>
      <w:lvlJc w:val="left"/>
      <w:pPr>
        <w:tabs>
          <w:tab w:val="left" w:pos="0"/>
        </w:tabs>
        <w:ind w:left="5760" w:hanging="360"/>
      </w:pPr>
      <w:rPr>
        <w:rFonts w:ascii="Segoe UI Symbol" w:hAnsi="Segoe UI Symbol" w:cs="Segoe UI Symbol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lvlText w:val="%1)"/>
      <w:lvlJc w:val="left"/>
      <w:pPr>
        <w:tabs>
          <w:tab w:val="left" w:pos="0"/>
        </w:tabs>
        <w:ind w:left="720" w:hanging="360"/>
      </w:pPr>
      <w:rPr>
        <w:rFonts w:hint="default" w:ascii="Calibri" w:hAnsi="Calibri" w:cs="Calibri"/>
        <w:b w:val="0"/>
        <w:sz w:val="22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00000004"/>
    <w:multiLevelType w:val="multilevel"/>
    <w:tmpl w:val="00000004"/>
    <w:lvl w:ilvl="0" w:tentative="0">
      <w:start w:val="1"/>
      <w:numFmt w:val="bullet"/>
      <w:lvlText w:val=""/>
      <w:lvlJc w:val="left"/>
      <w:pPr>
        <w:tabs>
          <w:tab w:val="left" w:pos="0"/>
        </w:tabs>
        <w:ind w:left="720" w:hanging="360"/>
      </w:pPr>
      <w:rPr>
        <w:rFonts w:ascii="Symbol" w:hAnsi="Symbol"/>
        <w:b w:val="0"/>
        <w:sz w:val="22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00000005"/>
    <w:multiLevelType w:val="multilevel"/>
    <w:tmpl w:val="00000005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4">
    <w:nsid w:val="00000006"/>
    <w:multiLevelType w:val="multilevel"/>
    <w:tmpl w:val="00000006"/>
    <w:lvl w:ilvl="0" w:tentative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8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4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8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40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2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5">
    <w:nsid w:val="00FB44EA"/>
    <w:multiLevelType w:val="multilevel"/>
    <w:tmpl w:val="00FB44EA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792" w:hanging="432"/>
      </w:pPr>
    </w:lvl>
    <w:lvl w:ilvl="2" w:tentative="0">
      <w:start w:val="1"/>
      <w:numFmt w:val="lowerRoman"/>
      <w:lvlText w:val="%3."/>
      <w:lvlJc w:val="righ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A5351B4"/>
    <w:multiLevelType w:val="multilevel"/>
    <w:tmpl w:val="0A5351B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0F1D7A64"/>
    <w:multiLevelType w:val="multilevel"/>
    <w:tmpl w:val="0F1D7A6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154E186B"/>
    <w:multiLevelType w:val="multilevel"/>
    <w:tmpl w:val="154E186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15657F99"/>
    <w:multiLevelType w:val="multilevel"/>
    <w:tmpl w:val="15657F99"/>
    <w:lvl w:ilvl="0" w:tentative="0">
      <w:start w:val="1"/>
      <w:numFmt w:val="lowerLetter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367C68"/>
    <w:multiLevelType w:val="multilevel"/>
    <w:tmpl w:val="18367C6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E5011"/>
    <w:multiLevelType w:val="multilevel"/>
    <w:tmpl w:val="3D2E501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3F0F65EA"/>
    <w:multiLevelType w:val="multilevel"/>
    <w:tmpl w:val="3F0F65E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42160C7C"/>
    <w:multiLevelType w:val="multilevel"/>
    <w:tmpl w:val="42160C7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489C54CF"/>
    <w:multiLevelType w:val="multilevel"/>
    <w:tmpl w:val="489C54C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93FE2"/>
    <w:multiLevelType w:val="multilevel"/>
    <w:tmpl w:val="55793FE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098673C"/>
    <w:multiLevelType w:val="multilevel"/>
    <w:tmpl w:val="6098673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 w:cs="Calibri"/>
        <w:b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A17C8"/>
    <w:multiLevelType w:val="multilevel"/>
    <w:tmpl w:val="60FA17C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 w:cs="Calibri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13"/>
  </w:num>
  <w:num w:numId="6">
    <w:abstractNumId w:val="6"/>
  </w:num>
  <w:num w:numId="7">
    <w:abstractNumId w:val="11"/>
  </w:num>
  <w:num w:numId="8">
    <w:abstractNumId w:val="14"/>
  </w:num>
  <w:num w:numId="9">
    <w:abstractNumId w:val="16"/>
  </w:num>
  <w:num w:numId="10">
    <w:abstractNumId w:val="9"/>
  </w:num>
  <w:num w:numId="11">
    <w:abstractNumId w:val="17"/>
  </w:num>
  <w:num w:numId="12">
    <w:abstractNumId w:val="10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5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03620F93"/>
    <w:rsid w:val="181D7FBC"/>
    <w:rsid w:val="1D543939"/>
    <w:rsid w:val="39630FD9"/>
    <w:rsid w:val="39D84BB1"/>
    <w:rsid w:val="415D3398"/>
    <w:rsid w:val="4AE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qFormat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qFormat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qFormat/>
    <w:uiPriority w:val="0"/>
    <w:rPr>
      <w:color w:val="0000FF"/>
      <w:u w:val="single"/>
    </w:rPr>
  </w:style>
  <w:style w:type="paragraph" w:styleId="17">
    <w:name w:val="List"/>
    <w:basedOn w:val="7"/>
    <w:qFormat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qFormat/>
    <w:uiPriority w:val="0"/>
  </w:style>
  <w:style w:type="character" w:customStyle="1" w:styleId="22">
    <w:name w:val="Nagłówek 1 Znak"/>
    <w:qFormat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qFormat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qFormat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qFormat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qFormat/>
    <w:uiPriority w:val="0"/>
    <w:rPr>
      <w:b/>
      <w:sz w:val="22"/>
    </w:rPr>
  </w:style>
  <w:style w:type="character" w:customStyle="1" w:styleId="29">
    <w:name w:val="ListLabel 2"/>
    <w:qFormat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qFormat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qFormat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qFormat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qFormat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qFormat/>
    <w:uiPriority w:val="0"/>
    <w:rPr>
      <w:sz w:val="22"/>
    </w:rPr>
  </w:style>
  <w:style w:type="character" w:customStyle="1" w:styleId="48">
    <w:name w:val="ListLabel 21"/>
    <w:qFormat/>
    <w:uiPriority w:val="0"/>
    <w:rPr>
      <w:sz w:val="22"/>
    </w:rPr>
  </w:style>
  <w:style w:type="character" w:customStyle="1" w:styleId="49">
    <w:name w:val="ListLabel 22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qFormat/>
    <w:uiPriority w:val="0"/>
    <w:rPr>
      <w:rFonts w:cs="Times New Roman"/>
      <w:sz w:val="22"/>
    </w:rPr>
  </w:style>
  <w:style w:type="character" w:customStyle="1" w:styleId="77">
    <w:name w:val="ListLabel 50"/>
    <w:qFormat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qFormat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qFormat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qFormat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qFormat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qFormat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qFormat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qFormat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qFormat/>
    <w:uiPriority w:val="0"/>
  </w:style>
  <w:style w:type="character" w:customStyle="1" w:styleId="130">
    <w:name w:val="Tekst dymka Znak1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4432</Words>
  <Characters>26592</Characters>
  <Lines>221</Lines>
  <Paragraphs>61</Paragraphs>
  <TotalTime>1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2024-11-15T11:33:45Z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