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1B1D9A73" w:rsidR="004072F8" w:rsidRPr="00FF0611" w:rsidRDefault="00C2536C" w:rsidP="00FF0611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BF10CF">
        <w:rPr>
          <w:rFonts w:eastAsia="Times-New-Roman" w:cs="Calibri"/>
          <w:lang w:eastAsia="pl-PL"/>
        </w:rPr>
        <w:t>kartonów (tzw. kartonów zbiorczych),</w:t>
      </w:r>
      <w:bookmarkStart w:id="0" w:name="_GoBack"/>
      <w:bookmarkEnd w:id="0"/>
      <w:r w:rsidRPr="005B7FB0">
        <w:t xml:space="preserve"> </w:t>
      </w:r>
      <w:r>
        <w:t>w ramach projektu FEMA.01.01-IP.01-023Q/24 – „Poprawa stabilności emulsji w roślinnych napojach orzechowych: prace badawczo-rozwojowe nad ograniczeniem wytrącania tłuszczu”</w:t>
      </w:r>
      <w:r w:rsidR="00FF0611" w:rsidRPr="00A874AF">
        <w:t>,</w:t>
      </w:r>
      <w:r w:rsidR="004072F8" w:rsidRPr="00A874AF">
        <w:t xml:space="preserve"> </w:t>
      </w:r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EF960" w14:textId="77777777" w:rsidR="00D91183" w:rsidRDefault="00D91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52AB73AB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BF10CF" w:rsidRPr="00BF10CF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18E1A" w14:textId="77777777" w:rsidR="00D91183" w:rsidRDefault="00D91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1083" w14:textId="77777777" w:rsidR="00D91183" w:rsidRDefault="00D91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6207ECFF" w:rsidR="00420546" w:rsidRDefault="00D91183" w:rsidP="00042105">
    <w:pPr>
      <w:pStyle w:val="Nagwek"/>
      <w:rPr>
        <w:rFonts w:cs="Calibri"/>
        <w:noProof/>
        <w:lang w:eastAsia="pl-PL"/>
      </w:rPr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651BCD26" wp14:editId="5338A65C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13EAA" w14:textId="77777777" w:rsidR="00D91183" w:rsidRDefault="00D91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C7F23"/>
    <w:rsid w:val="001D5E54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F10CF"/>
    <w:rsid w:val="00C2536C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2024-09-09T13:27:00Z</dcterms:modified>
</cp:coreProperties>
</file>