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558A7A70" w:rsidR="002B01E0" w:rsidRPr="004B3FDF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Załącznik nr 4 do </w:t>
      </w:r>
      <w:r w:rsidRPr="004B3FDF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9F5DA7">
        <w:rPr>
          <w:b/>
          <w:bCs/>
          <w:color w:val="auto"/>
        </w:rPr>
        <w:t>6</w:t>
      </w:r>
      <w:r w:rsidRPr="004B3FDF">
        <w:rPr>
          <w:b/>
          <w:bCs/>
          <w:color w:val="auto"/>
        </w:rPr>
        <w:t>/</w:t>
      </w:r>
      <w:r w:rsidR="004D779F" w:rsidRPr="004B3FDF">
        <w:rPr>
          <w:b/>
          <w:bCs/>
          <w:color w:val="auto"/>
        </w:rPr>
        <w:t>SPE</w:t>
      </w:r>
      <w:r w:rsidRPr="004B3FDF">
        <w:rPr>
          <w:b/>
          <w:bCs/>
          <w:color w:val="auto"/>
        </w:rPr>
        <w:t>/2024</w:t>
      </w:r>
    </w:p>
    <w:p w14:paraId="3BF87D48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B3FDF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B3FDF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B3FDF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B3FDF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B3FDF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123938B7" w:rsidR="002B01E0" w:rsidRPr="004B3FDF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dotyczy Zapytania Ofertowego nr </w:t>
      </w:r>
      <w:r w:rsidR="009F5DA7">
        <w:rPr>
          <w:color w:val="auto"/>
          <w:kern w:val="2"/>
          <w:sz w:val="22"/>
          <w:szCs w:val="22"/>
        </w:rPr>
        <w:t>6</w:t>
      </w:r>
      <w:r w:rsidR="004D779F" w:rsidRPr="004B3FDF">
        <w:rPr>
          <w:color w:val="auto"/>
          <w:kern w:val="2"/>
          <w:sz w:val="22"/>
          <w:szCs w:val="22"/>
        </w:rPr>
        <w:t>/SPE</w:t>
      </w:r>
      <w:r w:rsidRPr="004B3FDF">
        <w:rPr>
          <w:color w:val="auto"/>
          <w:kern w:val="2"/>
          <w:sz w:val="22"/>
          <w:szCs w:val="22"/>
        </w:rPr>
        <w:t>/2024 kt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rego przedmiotem jest:</w:t>
      </w:r>
      <w:r w:rsidRPr="004B3FDF">
        <w:rPr>
          <w:i/>
          <w:iCs/>
          <w:color w:val="auto"/>
          <w:kern w:val="2"/>
          <w:sz w:val="22"/>
          <w:szCs w:val="22"/>
        </w:rPr>
        <w:t xml:space="preserve"> </w:t>
      </w:r>
      <w:r w:rsidRPr="004B3FDF">
        <w:rPr>
          <w:color w:val="auto"/>
          <w:sz w:val="22"/>
          <w:szCs w:val="22"/>
        </w:rPr>
        <w:t xml:space="preserve">Usługa polegająca na przeprowadzeniu </w:t>
      </w:r>
      <w:r w:rsidR="009F5DA7">
        <w:rPr>
          <w:color w:val="auto"/>
          <w:sz w:val="22"/>
          <w:szCs w:val="22"/>
        </w:rPr>
        <w:t xml:space="preserve">wsparcia w formie </w:t>
      </w:r>
      <w:r w:rsidRPr="004B3FDF">
        <w:rPr>
          <w:color w:val="auto"/>
          <w:sz w:val="22"/>
          <w:szCs w:val="22"/>
        </w:rPr>
        <w:t xml:space="preserve">zajęć </w:t>
      </w:r>
      <w:r w:rsidR="004D779F" w:rsidRPr="004B3FDF">
        <w:rPr>
          <w:color w:val="auto"/>
          <w:sz w:val="22"/>
          <w:szCs w:val="22"/>
        </w:rPr>
        <w:t>specjalistycznych</w:t>
      </w:r>
      <w:r w:rsidRPr="004B3FDF">
        <w:rPr>
          <w:color w:val="auto"/>
          <w:sz w:val="22"/>
          <w:szCs w:val="22"/>
        </w:rPr>
        <w:t xml:space="preserve"> poza edukacją formalną </w:t>
      </w:r>
      <w:r w:rsidR="004D779F" w:rsidRPr="004B3FDF">
        <w:rPr>
          <w:color w:val="auto"/>
          <w:sz w:val="22"/>
          <w:szCs w:val="22"/>
        </w:rPr>
        <w:t xml:space="preserve">dla uczniów o specjalnych potrzebach edukacyjnych w Gminie </w:t>
      </w:r>
      <w:r w:rsidR="009F5DA7">
        <w:rPr>
          <w:color w:val="auto"/>
          <w:sz w:val="22"/>
          <w:szCs w:val="22"/>
        </w:rPr>
        <w:t>Chmielno</w:t>
      </w:r>
      <w:r w:rsidRPr="004B3FDF">
        <w:rPr>
          <w:color w:val="auto"/>
          <w:sz w:val="22"/>
          <w:szCs w:val="22"/>
        </w:rPr>
        <w:t>.</w:t>
      </w:r>
    </w:p>
    <w:p w14:paraId="0BCF5C30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B3FDF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4B3FDF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B3FDF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B3FDF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B3FDF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B3FDF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B3FDF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>Mając na uwadze przesłanki wykluczenia zawarte w art. 7 ust. 1 pkt 1-3 ustawy z dnia 13 kwietnia 2022 r. o szczeg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lnych rozwiązaniach w zakresie przeciwdziałania wspieraniu agresji na Ukrainę oraz służących ochronie bezpieczeństwa narodowego (t.j. Dz.U.2024 r., poz. 507):</w:t>
      </w:r>
    </w:p>
    <w:p w14:paraId="713B9D9C" w14:textId="77777777" w:rsidR="002B01E0" w:rsidRPr="004B3FDF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B3FDF" w:rsidRDefault="00000000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  <w:lang w:val="da-DK"/>
        </w:rPr>
        <w:t>- o</w:t>
      </w:r>
      <w:r w:rsidRPr="004B3FDF">
        <w:rPr>
          <w:color w:val="auto"/>
          <w:kern w:val="2"/>
          <w:sz w:val="22"/>
          <w:szCs w:val="22"/>
        </w:rPr>
        <w:t>świadczam(y), że nie podlegam(y) wykluczeniu z postępowania na podstawie art. 7 ust. 1 pkt 1-3 ustawy z dnia 13 kwietnia 2022 r. o szczeg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lnych rozwiązaniach w zakresie przeciwdziałania wspieraniu agresji na Ukrainę oraz służących ochronie bezpieczeństwa narodowego (Dz.U.2024 poz. 507).</w:t>
      </w:r>
    </w:p>
    <w:p w14:paraId="2341F4F5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B3FDF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4B3FDF" w:rsidRDefault="00000000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B3FDF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B3FDF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B3FDF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B3FDF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B3FDF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1B118" w14:textId="77777777" w:rsidR="00090CEA" w:rsidRDefault="00090CEA">
      <w:r>
        <w:separator/>
      </w:r>
    </w:p>
  </w:endnote>
  <w:endnote w:type="continuationSeparator" w:id="0">
    <w:p w14:paraId="116489AE" w14:textId="77777777" w:rsidR="00090CEA" w:rsidRDefault="000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58848" w14:textId="77777777" w:rsidR="00090CEA" w:rsidRDefault="00090CEA">
      <w:r>
        <w:separator/>
      </w:r>
    </w:p>
  </w:footnote>
  <w:footnote w:type="continuationSeparator" w:id="0">
    <w:p w14:paraId="18FF8394" w14:textId="77777777" w:rsidR="00090CEA" w:rsidRDefault="0009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090CEA"/>
    <w:rsid w:val="00124EA7"/>
    <w:rsid w:val="001343E1"/>
    <w:rsid w:val="001E1566"/>
    <w:rsid w:val="002B01E0"/>
    <w:rsid w:val="0046493A"/>
    <w:rsid w:val="004B3FDF"/>
    <w:rsid w:val="004C0E4F"/>
    <w:rsid w:val="004D779F"/>
    <w:rsid w:val="0057459A"/>
    <w:rsid w:val="006349DE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9F5DA7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81962"/>
    <w:rsid w:val="00F3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</cp:lastModifiedBy>
  <cp:revision>15</cp:revision>
  <dcterms:created xsi:type="dcterms:W3CDTF">2024-10-15T17:07:00Z</dcterms:created>
  <dcterms:modified xsi:type="dcterms:W3CDTF">2024-11-06T15:40:00Z</dcterms:modified>
</cp:coreProperties>
</file>