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998D9" w14:textId="32FFAEED" w:rsidR="003F2DA1" w:rsidRPr="00603276" w:rsidRDefault="00866727" w:rsidP="003F2DA1">
      <w:pPr>
        <w:pStyle w:val="Default"/>
        <w:spacing w:line="276" w:lineRule="auto"/>
        <w:jc w:val="right"/>
        <w:rPr>
          <w:bCs/>
          <w:i/>
          <w:sz w:val="20"/>
          <w:szCs w:val="20"/>
        </w:rPr>
      </w:pPr>
      <w:r w:rsidRPr="00603276">
        <w:rPr>
          <w:bCs/>
          <w:i/>
          <w:sz w:val="20"/>
          <w:szCs w:val="20"/>
        </w:rPr>
        <w:t>Załącznik nr 3</w:t>
      </w:r>
    </w:p>
    <w:p w14:paraId="32C07F6B" w14:textId="77777777" w:rsidR="003F2DA1" w:rsidRDefault="003F2DA1" w:rsidP="003F2DA1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KLAUZULA INFORMACYJNA - ART. 13 RODO</w:t>
      </w:r>
    </w:p>
    <w:p w14:paraId="0D66726E" w14:textId="77777777" w:rsidR="003F2DA1" w:rsidRDefault="003F2DA1" w:rsidP="00866727">
      <w:pPr>
        <w:pStyle w:val="Default"/>
        <w:spacing w:line="276" w:lineRule="auto"/>
        <w:ind w:left="-284" w:right="-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E409A0A" w14:textId="77777777" w:rsidR="003F2DA1" w:rsidRPr="00866727" w:rsidRDefault="003F2DA1" w:rsidP="00866727">
      <w:pPr>
        <w:pStyle w:val="Default"/>
        <w:numPr>
          <w:ilvl w:val="0"/>
          <w:numId w:val="3"/>
        </w:numPr>
        <w:spacing w:line="276" w:lineRule="auto"/>
        <w:ind w:left="-284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administratorem Pani/Pana danych osobowych jest Nidzicka Fundacja Rozwoju NIDA z siedzibą przy ul. Rzemieślnicze 3, 13-100 Nidzica, tel. 89 625 36 51, email: nida@nida.pl; </w:t>
      </w:r>
    </w:p>
    <w:p w14:paraId="7F622E52" w14:textId="46CCD348" w:rsidR="003F2DA1" w:rsidRPr="00866727" w:rsidRDefault="003F2DA1" w:rsidP="00866727">
      <w:pPr>
        <w:pStyle w:val="Default"/>
        <w:numPr>
          <w:ilvl w:val="0"/>
          <w:numId w:val="3"/>
        </w:numPr>
        <w:spacing w:line="276" w:lineRule="auto"/>
        <w:ind w:left="-284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>Pani/Pana dane osobowe przetwarzane będą na podstawie art. 6 ust. 1 lit. b RODO w c</w:t>
      </w:r>
      <w:r w:rsidR="00677FFE" w:rsidRPr="00866727">
        <w:rPr>
          <w:sz w:val="20"/>
          <w:szCs w:val="20"/>
        </w:rPr>
        <w:t>elu związanym z postępowaniem dot.</w:t>
      </w:r>
      <w:r w:rsidRPr="00866727">
        <w:rPr>
          <w:sz w:val="20"/>
          <w:szCs w:val="20"/>
        </w:rPr>
        <w:t xml:space="preserve"> </w:t>
      </w:r>
      <w:r w:rsidR="00677FFE" w:rsidRPr="002C2786">
        <w:rPr>
          <w:b/>
          <w:bCs/>
          <w:sz w:val="20"/>
          <w:szCs w:val="20"/>
        </w:rPr>
        <w:t>„</w:t>
      </w:r>
      <w:r w:rsidR="002C2786" w:rsidRPr="002C2786">
        <w:rPr>
          <w:b/>
          <w:bCs/>
          <w:sz w:val="20"/>
          <w:szCs w:val="20"/>
        </w:rPr>
        <w:t>opracowani</w:t>
      </w:r>
      <w:r w:rsidR="002C2786" w:rsidRPr="002C2786">
        <w:rPr>
          <w:b/>
          <w:bCs/>
          <w:sz w:val="20"/>
          <w:szCs w:val="20"/>
        </w:rPr>
        <w:t>a</w:t>
      </w:r>
      <w:r w:rsidR="002C2786" w:rsidRPr="002C2786">
        <w:rPr>
          <w:b/>
          <w:bCs/>
          <w:sz w:val="20"/>
          <w:szCs w:val="20"/>
        </w:rPr>
        <w:t xml:space="preserve"> merytorycz</w:t>
      </w:r>
      <w:r w:rsidR="002C2786" w:rsidRPr="002C2786">
        <w:rPr>
          <w:b/>
          <w:bCs/>
          <w:sz w:val="20"/>
          <w:szCs w:val="20"/>
        </w:rPr>
        <w:t>nego</w:t>
      </w:r>
      <w:r w:rsidR="002C2786" w:rsidRPr="002C2786">
        <w:rPr>
          <w:b/>
          <w:bCs/>
          <w:sz w:val="20"/>
          <w:szCs w:val="20"/>
        </w:rPr>
        <w:t xml:space="preserve"> i graficzn</w:t>
      </w:r>
      <w:r w:rsidR="002C2786" w:rsidRPr="002C2786">
        <w:rPr>
          <w:b/>
          <w:bCs/>
          <w:sz w:val="20"/>
          <w:szCs w:val="20"/>
        </w:rPr>
        <w:t>ego</w:t>
      </w:r>
      <w:r w:rsidR="002C2786" w:rsidRPr="002C2786">
        <w:rPr>
          <w:b/>
          <w:bCs/>
          <w:sz w:val="20"/>
          <w:szCs w:val="20"/>
        </w:rPr>
        <w:t xml:space="preserve"> oraz druku edukacyjnej gry planszowej, która ma łączyć elementy nauczania ekonomii i przedsiębiorczości z tematyką ekologiczną oraz nauczaniem języka angielskiego</w:t>
      </w:r>
      <w:r w:rsidR="00677FFE" w:rsidRPr="002C2786">
        <w:rPr>
          <w:b/>
          <w:bCs/>
          <w:sz w:val="20"/>
          <w:szCs w:val="20"/>
        </w:rPr>
        <w:t>”</w:t>
      </w:r>
      <w:r w:rsidRPr="00866727">
        <w:rPr>
          <w:sz w:val="20"/>
          <w:szCs w:val="20"/>
        </w:rPr>
        <w:t xml:space="preserve"> prowadzonym zgodnie z zasadą konkurencyjności, o której mowa w wytycznych Ministra </w:t>
      </w:r>
      <w:r w:rsidR="00866727" w:rsidRPr="00866727">
        <w:rPr>
          <w:sz w:val="20"/>
          <w:szCs w:val="20"/>
        </w:rPr>
        <w:t>Finansów, Funduszy i Polityki Regionalnej</w:t>
      </w:r>
      <w:r w:rsidRPr="00866727">
        <w:rPr>
          <w:sz w:val="20"/>
          <w:szCs w:val="20"/>
        </w:rPr>
        <w:t xml:space="preserve"> w zakresie </w:t>
      </w:r>
      <w:r w:rsidR="00866727" w:rsidRPr="00866727">
        <w:rPr>
          <w:sz w:val="20"/>
          <w:szCs w:val="20"/>
        </w:rPr>
        <w:t>udzielania zamówień w ramach Mechanizmu Finansowego EOG na lata 2014-2021 oraz Norweskiego Mechanizmu Finansowego na lata 2014-2021</w:t>
      </w:r>
      <w:r w:rsidRPr="00866727">
        <w:rPr>
          <w:sz w:val="20"/>
          <w:szCs w:val="20"/>
        </w:rPr>
        <w:t xml:space="preserve">, a w przypadku wyboru Państwa oferty jako najkorzystniejszej również w celu zawarcia i realizacji ww. umowy; </w:t>
      </w:r>
    </w:p>
    <w:p w14:paraId="749804EF" w14:textId="77777777" w:rsidR="003F2DA1" w:rsidRPr="00866727" w:rsidRDefault="003F2DA1" w:rsidP="00866727">
      <w:pPr>
        <w:pStyle w:val="Default"/>
        <w:numPr>
          <w:ilvl w:val="0"/>
          <w:numId w:val="3"/>
        </w:numPr>
        <w:spacing w:line="276" w:lineRule="auto"/>
        <w:ind w:left="-284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odbiorcami Pani/Pana danych osobowych będą osoby lub podmioty nadzorujące, kontrolujące i koordynujące działania Fundacji; </w:t>
      </w:r>
    </w:p>
    <w:p w14:paraId="07023C7D" w14:textId="6C4841DD" w:rsidR="003F2DA1" w:rsidRPr="00866727" w:rsidRDefault="003F2DA1" w:rsidP="00866727">
      <w:pPr>
        <w:pStyle w:val="Default"/>
        <w:numPr>
          <w:ilvl w:val="0"/>
          <w:numId w:val="3"/>
        </w:numPr>
        <w:spacing w:line="276" w:lineRule="auto"/>
        <w:ind w:left="-284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>Pani/Pana dane osobowe będą przechowywane wyłącznie przez okres wymagany dla archiwizacji dokumentów dotyczących projektu „</w:t>
      </w:r>
      <w:r w:rsidR="00866727" w:rsidRPr="00866727">
        <w:rPr>
          <w:sz w:val="20"/>
          <w:szCs w:val="20"/>
        </w:rPr>
        <w:t>INNES – Innowacyjna Edukacja Szkolna</w:t>
      </w:r>
      <w:r w:rsidRPr="00866727">
        <w:rPr>
          <w:sz w:val="20"/>
          <w:szCs w:val="20"/>
        </w:rPr>
        <w:t>” nr umowy</w:t>
      </w:r>
      <w:r w:rsidR="00866727" w:rsidRPr="00866727">
        <w:rPr>
          <w:sz w:val="20"/>
          <w:szCs w:val="20"/>
        </w:rPr>
        <w:t>: EOG/21/K4/W/0066</w:t>
      </w:r>
      <w:r w:rsidRPr="00866727">
        <w:rPr>
          <w:sz w:val="20"/>
          <w:szCs w:val="20"/>
        </w:rPr>
        <w:t xml:space="preserve"> </w:t>
      </w:r>
      <w:r w:rsidR="00866727" w:rsidRPr="00866727">
        <w:rPr>
          <w:sz w:val="20"/>
          <w:szCs w:val="20"/>
        </w:rPr>
        <w:t xml:space="preserve">korzystającego z dofinansowania o wartości 179.060,88 EUR otrzymanego od Islandii, Liechtensteinu i Norwegii w ramach Funduszy EOG w ramach Programu EDUKACJA. Celem projektu INNES – Innowacyjna Edukacja Szkolna jest zmniejszenie dysproporcji ekonomicznych i społecznych w obszarze edukacji dzieci i młodzieży z wiejskich szkół publicznych w Polsce oraz profesjonalny rozwój kadry obszaru edukacji formalnej i </w:t>
      </w:r>
      <w:proofErr w:type="spellStart"/>
      <w:r w:rsidR="00866727" w:rsidRPr="00866727">
        <w:rPr>
          <w:sz w:val="20"/>
          <w:szCs w:val="20"/>
        </w:rPr>
        <w:t>pozaformalnej</w:t>
      </w:r>
      <w:proofErr w:type="spellEnd"/>
      <w:r w:rsidR="00866727" w:rsidRPr="00866727">
        <w:rPr>
          <w:sz w:val="20"/>
          <w:szCs w:val="20"/>
        </w:rPr>
        <w:t xml:space="preserve">. </w:t>
      </w:r>
    </w:p>
    <w:p w14:paraId="7BD73E08" w14:textId="3F377159" w:rsidR="003F2DA1" w:rsidRPr="00866727" w:rsidRDefault="003F2DA1" w:rsidP="00866727">
      <w:pPr>
        <w:pStyle w:val="Default"/>
        <w:numPr>
          <w:ilvl w:val="0"/>
          <w:numId w:val="3"/>
        </w:numPr>
        <w:spacing w:line="276" w:lineRule="auto"/>
        <w:ind w:left="-284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obowiązek podania przez Panią/Pana danych osobowych bezpośrednio Pani/Pana dotyczących jest </w:t>
      </w:r>
      <w:r w:rsidR="00C1193A" w:rsidRPr="00866727">
        <w:rPr>
          <w:sz w:val="20"/>
          <w:szCs w:val="20"/>
        </w:rPr>
        <w:t>dobrowolne,</w:t>
      </w:r>
      <w:r w:rsidRPr="00866727">
        <w:rPr>
          <w:sz w:val="20"/>
          <w:szCs w:val="20"/>
        </w:rPr>
        <w:t xml:space="preserve"> aczkolwiek warunkuje uczestnictwo w ww. postępowaniu; </w:t>
      </w:r>
    </w:p>
    <w:p w14:paraId="0B73A2B5" w14:textId="77777777" w:rsidR="003F2DA1" w:rsidRPr="00866727" w:rsidRDefault="003F2DA1" w:rsidP="00866727">
      <w:pPr>
        <w:pStyle w:val="Default"/>
        <w:numPr>
          <w:ilvl w:val="0"/>
          <w:numId w:val="3"/>
        </w:numPr>
        <w:spacing w:line="276" w:lineRule="auto"/>
        <w:ind w:left="-284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w odniesieniu do Pani/Pana danych osobowych decyzje nie będą podejmowane w sposób zautomatyzowany, stosowanie do art. 22 RODO; </w:t>
      </w:r>
    </w:p>
    <w:p w14:paraId="6E35BF82" w14:textId="77777777" w:rsidR="003F2DA1" w:rsidRPr="00866727" w:rsidRDefault="003F2DA1" w:rsidP="00866727">
      <w:pPr>
        <w:pStyle w:val="Default"/>
        <w:numPr>
          <w:ilvl w:val="0"/>
          <w:numId w:val="3"/>
        </w:numPr>
        <w:spacing w:line="276" w:lineRule="auto"/>
        <w:ind w:left="-284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posiada Pani/Pan: </w:t>
      </w:r>
    </w:p>
    <w:p w14:paraId="1F00E28D" w14:textId="77777777" w:rsidR="003F2DA1" w:rsidRPr="003F2DA1" w:rsidRDefault="003F2DA1" w:rsidP="00866727">
      <w:pPr>
        <w:pStyle w:val="Default"/>
        <w:numPr>
          <w:ilvl w:val="0"/>
          <w:numId w:val="4"/>
        </w:numPr>
        <w:spacing w:line="276" w:lineRule="auto"/>
        <w:ind w:left="142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na podstawie art. 15 RODO prawo dostępu do danych osobowych Pani/Pana dotyczących; </w:t>
      </w:r>
    </w:p>
    <w:p w14:paraId="00000CAD" w14:textId="77777777" w:rsidR="003F2DA1" w:rsidRPr="00866727" w:rsidRDefault="003F2DA1" w:rsidP="00866727">
      <w:pPr>
        <w:pStyle w:val="Default"/>
        <w:numPr>
          <w:ilvl w:val="0"/>
          <w:numId w:val="4"/>
        </w:numPr>
        <w:spacing w:line="276" w:lineRule="auto"/>
        <w:ind w:left="142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na podstawie art. 16 RODO prawo do sprostowania Pani/Pana danych osobowych*; </w:t>
      </w:r>
    </w:p>
    <w:p w14:paraId="1CF2E6F9" w14:textId="77777777" w:rsidR="003F2DA1" w:rsidRPr="00866727" w:rsidRDefault="003F2DA1" w:rsidP="00866727">
      <w:pPr>
        <w:pStyle w:val="Default"/>
        <w:numPr>
          <w:ilvl w:val="0"/>
          <w:numId w:val="4"/>
        </w:numPr>
        <w:spacing w:line="276" w:lineRule="auto"/>
        <w:ind w:left="142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RODO**; </w:t>
      </w:r>
    </w:p>
    <w:p w14:paraId="2D9392AF" w14:textId="77777777" w:rsidR="003F2DA1" w:rsidRPr="00866727" w:rsidRDefault="003F2DA1" w:rsidP="00866727">
      <w:pPr>
        <w:pStyle w:val="Default"/>
        <w:numPr>
          <w:ilvl w:val="0"/>
          <w:numId w:val="4"/>
        </w:numPr>
        <w:spacing w:line="276" w:lineRule="auto"/>
        <w:ind w:left="142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16F1BFE" w14:textId="77777777" w:rsidR="003F2DA1" w:rsidRPr="00866727" w:rsidRDefault="003F2DA1" w:rsidP="00866727">
      <w:pPr>
        <w:pStyle w:val="Default"/>
        <w:numPr>
          <w:ilvl w:val="0"/>
          <w:numId w:val="4"/>
        </w:numPr>
        <w:spacing w:line="276" w:lineRule="auto"/>
        <w:ind w:left="142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na podstawie art. 21 RODO prawo sprzeciwu, wobec przetwarzania danych osobowych </w:t>
      </w:r>
    </w:p>
    <w:p w14:paraId="6E919FA2" w14:textId="77777777" w:rsidR="003F2DA1" w:rsidRPr="00866727" w:rsidRDefault="003F2DA1" w:rsidP="00866727">
      <w:pPr>
        <w:pStyle w:val="Default"/>
        <w:numPr>
          <w:ilvl w:val="0"/>
          <w:numId w:val="4"/>
        </w:numPr>
        <w:spacing w:line="276" w:lineRule="auto"/>
        <w:ind w:left="142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z zastrzeżeniem przypadków, o których mowa w art. 21 RODO </w:t>
      </w:r>
    </w:p>
    <w:p w14:paraId="63A60B2D" w14:textId="77777777" w:rsidR="003F2DA1" w:rsidRPr="00866727" w:rsidRDefault="003F2DA1" w:rsidP="00866727">
      <w:pPr>
        <w:pStyle w:val="Default"/>
        <w:numPr>
          <w:ilvl w:val="0"/>
          <w:numId w:val="3"/>
        </w:numPr>
        <w:spacing w:line="276" w:lineRule="auto"/>
        <w:ind w:left="-284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nie przysługuje Pani/Panu: </w:t>
      </w:r>
    </w:p>
    <w:p w14:paraId="7407AAF7" w14:textId="77777777" w:rsidR="003F2DA1" w:rsidRPr="00866727" w:rsidRDefault="003F2DA1" w:rsidP="00866727">
      <w:pPr>
        <w:pStyle w:val="Default"/>
        <w:numPr>
          <w:ilvl w:val="0"/>
          <w:numId w:val="4"/>
        </w:numPr>
        <w:spacing w:line="276" w:lineRule="auto"/>
        <w:ind w:left="142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w związku z art. 17 ust. 3 lit. b, d lub e RODO prawo do usunięcia danych osobowych; </w:t>
      </w:r>
    </w:p>
    <w:p w14:paraId="6536BBF7" w14:textId="77777777" w:rsidR="003F2DA1" w:rsidRPr="00866727" w:rsidRDefault="003F2DA1" w:rsidP="00866727">
      <w:pPr>
        <w:pStyle w:val="Default"/>
        <w:numPr>
          <w:ilvl w:val="0"/>
          <w:numId w:val="4"/>
        </w:numPr>
        <w:spacing w:line="276" w:lineRule="auto"/>
        <w:ind w:left="142" w:right="-709"/>
        <w:jc w:val="both"/>
        <w:rPr>
          <w:sz w:val="20"/>
          <w:szCs w:val="20"/>
        </w:rPr>
      </w:pPr>
      <w:r w:rsidRPr="00866727">
        <w:rPr>
          <w:sz w:val="20"/>
          <w:szCs w:val="20"/>
        </w:rPr>
        <w:t xml:space="preserve">prawo do przenoszenia danych osobowych, o którym mowa w art. 20 RODO. </w:t>
      </w:r>
    </w:p>
    <w:p w14:paraId="7FD5E4D8" w14:textId="77777777" w:rsidR="003F2DA1" w:rsidRPr="00866727" w:rsidRDefault="003F2DA1" w:rsidP="00866727">
      <w:pPr>
        <w:pStyle w:val="Default"/>
        <w:spacing w:line="276" w:lineRule="auto"/>
        <w:ind w:left="-284" w:right="-709"/>
        <w:jc w:val="both"/>
        <w:rPr>
          <w:color w:val="auto"/>
          <w:sz w:val="18"/>
          <w:szCs w:val="22"/>
        </w:rPr>
      </w:pPr>
    </w:p>
    <w:p w14:paraId="4BB924CF" w14:textId="77777777" w:rsidR="003F2DA1" w:rsidRPr="00866727" w:rsidRDefault="003F2DA1" w:rsidP="00866727">
      <w:pPr>
        <w:pStyle w:val="Default"/>
        <w:spacing w:line="276" w:lineRule="auto"/>
        <w:ind w:left="-284" w:right="-709"/>
        <w:jc w:val="both"/>
        <w:rPr>
          <w:i/>
          <w:color w:val="auto"/>
          <w:sz w:val="18"/>
          <w:szCs w:val="20"/>
        </w:rPr>
      </w:pPr>
      <w:r w:rsidRPr="00866727">
        <w:rPr>
          <w:i/>
          <w:color w:val="auto"/>
          <w:sz w:val="18"/>
          <w:szCs w:val="20"/>
        </w:rPr>
        <w:t xml:space="preserve">* Wyjaśnienie: skorzystanie z prawa do sprostowania nie może skutkować zmianą wyniku postępowania o udzielenie zamówienia publicznego ani zmianą postanowień umowy w zakresie niezgodnym z treścią ww. postępowania. </w:t>
      </w:r>
    </w:p>
    <w:p w14:paraId="18C5FA3C" w14:textId="77777777" w:rsidR="003F2DA1" w:rsidRPr="00866727" w:rsidRDefault="003F2DA1" w:rsidP="00866727">
      <w:pPr>
        <w:pStyle w:val="Default"/>
        <w:spacing w:line="276" w:lineRule="auto"/>
        <w:ind w:left="-284" w:right="-709"/>
        <w:jc w:val="both"/>
        <w:rPr>
          <w:i/>
          <w:color w:val="auto"/>
          <w:sz w:val="18"/>
          <w:szCs w:val="20"/>
        </w:rPr>
      </w:pPr>
      <w:r w:rsidRPr="00866727">
        <w:rPr>
          <w:i/>
          <w:color w:val="auto"/>
          <w:sz w:val="18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866727">
        <w:rPr>
          <w:i/>
          <w:iCs/>
          <w:color w:val="auto"/>
          <w:sz w:val="18"/>
          <w:szCs w:val="20"/>
        </w:rPr>
        <w:t xml:space="preserve">. </w:t>
      </w:r>
    </w:p>
    <w:p w14:paraId="7A84CE2B" w14:textId="77777777" w:rsidR="003F2DA1" w:rsidRPr="00866727" w:rsidRDefault="003F2DA1" w:rsidP="00866727">
      <w:pPr>
        <w:spacing w:after="0" w:line="276" w:lineRule="auto"/>
        <w:ind w:left="3256" w:right="-709" w:firstLine="992"/>
        <w:jc w:val="center"/>
        <w:rPr>
          <w:b/>
          <w:sz w:val="20"/>
        </w:rPr>
      </w:pPr>
      <w:r w:rsidRPr="00866727">
        <w:rPr>
          <w:b/>
          <w:sz w:val="20"/>
        </w:rPr>
        <w:t>Zapoznałam/</w:t>
      </w:r>
      <w:proofErr w:type="spellStart"/>
      <w:r w:rsidRPr="00866727">
        <w:rPr>
          <w:b/>
          <w:sz w:val="20"/>
        </w:rPr>
        <w:t>łem</w:t>
      </w:r>
      <w:proofErr w:type="spellEnd"/>
      <w:r w:rsidRPr="00866727">
        <w:rPr>
          <w:b/>
          <w:sz w:val="20"/>
        </w:rPr>
        <w:t xml:space="preserve"> się z powyższą klauzulą informacyjną. </w:t>
      </w:r>
    </w:p>
    <w:p w14:paraId="2B2708F6" w14:textId="0A97D801" w:rsidR="00866727" w:rsidRPr="003C01C0" w:rsidRDefault="00866727" w:rsidP="00866727">
      <w:pPr>
        <w:spacing w:after="0" w:line="276" w:lineRule="auto"/>
        <w:ind w:left="-284" w:right="-709"/>
        <w:jc w:val="right"/>
        <w:rPr>
          <w:sz w:val="14"/>
          <w:szCs w:val="16"/>
        </w:rPr>
      </w:pPr>
    </w:p>
    <w:p w14:paraId="7E465030" w14:textId="77777777" w:rsidR="003C01C0" w:rsidRDefault="003C01C0" w:rsidP="00866727">
      <w:pPr>
        <w:spacing w:after="0" w:line="276" w:lineRule="auto"/>
        <w:ind w:left="-284" w:right="-709"/>
        <w:jc w:val="right"/>
        <w:rPr>
          <w:sz w:val="20"/>
        </w:rPr>
      </w:pPr>
    </w:p>
    <w:p w14:paraId="27553CF4" w14:textId="5443EFBE" w:rsidR="003F2DA1" w:rsidRPr="003F2DA1" w:rsidRDefault="003F2DA1" w:rsidP="00866727">
      <w:pPr>
        <w:spacing w:after="0" w:line="276" w:lineRule="auto"/>
        <w:ind w:left="4248" w:firstLine="708"/>
        <w:jc w:val="center"/>
      </w:pPr>
      <w:r w:rsidRPr="003F2DA1">
        <w:t>……</w:t>
      </w:r>
      <w:r w:rsidR="00866727">
        <w:t>…….</w:t>
      </w:r>
      <w:r w:rsidRPr="003F2DA1">
        <w:t xml:space="preserve">………………………………………………        </w:t>
      </w:r>
    </w:p>
    <w:p w14:paraId="0C103223" w14:textId="77777777" w:rsidR="00651825" w:rsidRPr="00866727" w:rsidRDefault="003F2DA1" w:rsidP="00866727">
      <w:pPr>
        <w:spacing w:after="0" w:line="276" w:lineRule="auto"/>
        <w:ind w:left="5664" w:firstLine="708"/>
        <w:rPr>
          <w:i/>
          <w:sz w:val="20"/>
        </w:rPr>
      </w:pPr>
      <w:r w:rsidRPr="00866727">
        <w:rPr>
          <w:i/>
          <w:sz w:val="20"/>
        </w:rPr>
        <w:t>podpis Wykonawcy</w:t>
      </w:r>
    </w:p>
    <w:sectPr w:rsidR="00651825" w:rsidRPr="00866727" w:rsidSect="00866727">
      <w:headerReference w:type="default" r:id="rId7"/>
      <w:pgSz w:w="11906" w:h="16838"/>
      <w:pgMar w:top="979" w:right="1417" w:bottom="568" w:left="1417" w:header="142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53568" w14:textId="77777777" w:rsidR="004547C1" w:rsidRDefault="004547C1" w:rsidP="003F2DA1">
      <w:pPr>
        <w:spacing w:after="0" w:line="240" w:lineRule="auto"/>
      </w:pPr>
      <w:r>
        <w:separator/>
      </w:r>
    </w:p>
  </w:endnote>
  <w:endnote w:type="continuationSeparator" w:id="0">
    <w:p w14:paraId="287FFE28" w14:textId="77777777" w:rsidR="004547C1" w:rsidRDefault="004547C1" w:rsidP="003F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3BF5D" w14:textId="77777777" w:rsidR="004547C1" w:rsidRDefault="004547C1" w:rsidP="003F2DA1">
      <w:pPr>
        <w:spacing w:after="0" w:line="240" w:lineRule="auto"/>
      </w:pPr>
      <w:r>
        <w:separator/>
      </w:r>
    </w:p>
  </w:footnote>
  <w:footnote w:type="continuationSeparator" w:id="0">
    <w:p w14:paraId="5DC32601" w14:textId="77777777" w:rsidR="004547C1" w:rsidRDefault="004547C1" w:rsidP="003F2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82" w:type="dxa"/>
      <w:jc w:val="center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443"/>
      <w:gridCol w:w="1794"/>
      <w:gridCol w:w="5245"/>
    </w:tblGrid>
    <w:tr w:rsidR="00866727" w:rsidRPr="004C04D3" w14:paraId="23086918" w14:textId="77777777" w:rsidTr="00057018">
      <w:trPr>
        <w:trHeight w:val="1565"/>
        <w:jc w:val="center"/>
      </w:trPr>
      <w:tc>
        <w:tcPr>
          <w:tcW w:w="4443" w:type="dxa"/>
          <w:tcBorders>
            <w:bottom w:val="nil"/>
          </w:tcBorders>
        </w:tcPr>
        <w:p w14:paraId="2E302E5F" w14:textId="77777777" w:rsidR="00866727" w:rsidRDefault="00866727" w:rsidP="00057018">
          <w:pPr>
            <w:pStyle w:val="Nagwek"/>
            <w:rPr>
              <w:rFonts w:cs="Tahoma"/>
              <w:b/>
              <w:color w:val="7F7F7F"/>
              <w:sz w:val="16"/>
              <w:szCs w:val="17"/>
            </w:rPr>
          </w:pPr>
        </w:p>
        <w:p w14:paraId="096FC89C" w14:textId="77777777" w:rsidR="00866727" w:rsidRPr="009D75D8" w:rsidRDefault="00866727" w:rsidP="00057018">
          <w:pPr>
            <w:pStyle w:val="Nagwek"/>
            <w:jc w:val="center"/>
            <w:rPr>
              <w:rFonts w:cs="Tahoma"/>
              <w:noProof/>
              <w:color w:val="A6A6A6"/>
              <w:lang w:eastAsia="pl-P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cs="Tahoma"/>
              <w:b/>
              <w:noProof/>
              <w:color w:val="7F7F7F"/>
              <w:sz w:val="16"/>
              <w:szCs w:val="17"/>
              <w:lang w:eastAsia="pl-PL"/>
            </w:rPr>
            <w:drawing>
              <wp:inline distT="0" distB="0" distL="0" distR="0" wp14:anchorId="117B2216" wp14:editId="3BD75F50">
                <wp:extent cx="1066800" cy="74780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EA_grants@4x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07" cy="7611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4" w:type="dxa"/>
          <w:vMerge w:val="restart"/>
          <w:tcBorders>
            <w:bottom w:val="nil"/>
          </w:tcBorders>
          <w:vAlign w:val="center"/>
        </w:tcPr>
        <w:p w14:paraId="206FB0D6" w14:textId="77777777" w:rsidR="00866727" w:rsidRDefault="00866727" w:rsidP="00057018">
          <w:pPr>
            <w:pStyle w:val="Nagwek"/>
            <w:jc w:val="center"/>
            <w:rPr>
              <w:rFonts w:cs="Tahoma"/>
              <w:color w:val="7F7F7F"/>
              <w:sz w:val="16"/>
              <w:szCs w:val="17"/>
              <w:lang w:eastAsia="pl-PL"/>
            </w:rPr>
          </w:pPr>
        </w:p>
        <w:p w14:paraId="77DFC300" w14:textId="77777777" w:rsidR="00866727" w:rsidRDefault="00866727" w:rsidP="00057018">
          <w:pPr>
            <w:pStyle w:val="Nagwek"/>
            <w:jc w:val="center"/>
            <w:rPr>
              <w:rFonts w:cs="Tahoma"/>
              <w:color w:val="7F7F7F"/>
              <w:sz w:val="16"/>
              <w:szCs w:val="17"/>
              <w:lang w:eastAsia="pl-PL"/>
            </w:rPr>
          </w:pPr>
        </w:p>
        <w:p w14:paraId="5E48DF38" w14:textId="77777777" w:rsidR="00866727" w:rsidRDefault="00866727" w:rsidP="00057018">
          <w:pPr>
            <w:pStyle w:val="Nagwek"/>
            <w:jc w:val="center"/>
            <w:rPr>
              <w:rFonts w:cs="Tahoma"/>
              <w:color w:val="7F7F7F"/>
              <w:sz w:val="16"/>
              <w:szCs w:val="17"/>
              <w:lang w:eastAsia="pl-PL"/>
            </w:rPr>
          </w:pPr>
        </w:p>
        <w:p w14:paraId="2CA849E0" w14:textId="77777777" w:rsidR="00866727" w:rsidRPr="008D6BEB" w:rsidRDefault="00866727" w:rsidP="00057018">
          <w:pPr>
            <w:pStyle w:val="Nagwek"/>
            <w:jc w:val="right"/>
            <w:rPr>
              <w:rFonts w:cs="Tahoma"/>
              <w:color w:val="7F7F7F"/>
              <w:sz w:val="16"/>
              <w:szCs w:val="17"/>
              <w:lang w:eastAsia="pl-PL"/>
            </w:rPr>
          </w:pPr>
        </w:p>
      </w:tc>
      <w:tc>
        <w:tcPr>
          <w:tcW w:w="5245" w:type="dxa"/>
          <w:vMerge w:val="restart"/>
          <w:vAlign w:val="bottom"/>
        </w:tcPr>
        <w:p w14:paraId="4F26EABE" w14:textId="77777777" w:rsidR="00866727" w:rsidRDefault="00866727" w:rsidP="00057018">
          <w:pPr>
            <w:pStyle w:val="Nagwek"/>
            <w:jc w:val="center"/>
            <w:rPr>
              <w:rFonts w:cs="Tahoma"/>
              <w:color w:val="7F7F7F"/>
              <w:sz w:val="16"/>
              <w:szCs w:val="17"/>
              <w:lang w:eastAsia="pl-PL"/>
            </w:rPr>
          </w:pPr>
          <w:r>
            <w:rPr>
              <w:rFonts w:cs="Tahoma"/>
              <w:noProof/>
              <w:color w:val="A6A6A6"/>
              <w:lang w:eastAsia="pl-PL"/>
            </w:rPr>
            <w:drawing>
              <wp:inline distT="0" distB="0" distL="0" distR="0" wp14:anchorId="5070582D" wp14:editId="00F3A792">
                <wp:extent cx="1172699" cy="7620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9311" cy="77929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rFonts w:cs="Tahoma"/>
              <w:noProof/>
              <w:color w:val="7F7F7F"/>
              <w:sz w:val="16"/>
              <w:szCs w:val="17"/>
              <w:lang w:eastAsia="pl-PL"/>
            </w:rPr>
            <w:drawing>
              <wp:inline distT="0" distB="0" distL="0" distR="0" wp14:anchorId="1E702AC3" wp14:editId="50254073">
                <wp:extent cx="762000" cy="757212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01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384" cy="7993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66727" w:rsidRPr="004C04D3" w14:paraId="5409A7E7" w14:textId="77777777" w:rsidTr="00057018">
      <w:trPr>
        <w:trHeight w:val="410"/>
        <w:jc w:val="center"/>
      </w:trPr>
      <w:tc>
        <w:tcPr>
          <w:tcW w:w="4443" w:type="dxa"/>
          <w:tcBorders>
            <w:top w:val="nil"/>
            <w:bottom w:val="nil"/>
          </w:tcBorders>
          <w:vAlign w:val="center"/>
        </w:tcPr>
        <w:p w14:paraId="14B4910B" w14:textId="77777777" w:rsidR="00866727" w:rsidRDefault="00866727" w:rsidP="00057018">
          <w:pPr>
            <w:pStyle w:val="Nagwek"/>
            <w:jc w:val="center"/>
            <w:rPr>
              <w:rFonts w:cs="Tahoma"/>
              <w:b/>
              <w:color w:val="7F7F7F"/>
              <w:sz w:val="16"/>
              <w:szCs w:val="17"/>
            </w:rPr>
          </w:pPr>
        </w:p>
      </w:tc>
      <w:tc>
        <w:tcPr>
          <w:tcW w:w="1794" w:type="dxa"/>
          <w:vMerge/>
          <w:tcBorders>
            <w:top w:val="nil"/>
            <w:bottom w:val="nil"/>
          </w:tcBorders>
          <w:vAlign w:val="center"/>
        </w:tcPr>
        <w:p w14:paraId="6E2D05DF" w14:textId="77777777" w:rsidR="00866727" w:rsidRPr="008D6BEB" w:rsidRDefault="00866727" w:rsidP="00057018">
          <w:pPr>
            <w:pStyle w:val="Nagwek"/>
            <w:jc w:val="center"/>
            <w:rPr>
              <w:rFonts w:cs="Tahoma"/>
              <w:color w:val="7F7F7F"/>
              <w:sz w:val="16"/>
              <w:szCs w:val="17"/>
              <w:lang w:eastAsia="pl-PL"/>
            </w:rPr>
          </w:pPr>
        </w:p>
      </w:tc>
      <w:tc>
        <w:tcPr>
          <w:tcW w:w="5245" w:type="dxa"/>
          <w:vMerge/>
          <w:tcBorders>
            <w:bottom w:val="nil"/>
          </w:tcBorders>
        </w:tcPr>
        <w:p w14:paraId="504722AA" w14:textId="77777777" w:rsidR="00866727" w:rsidRPr="008D6BEB" w:rsidRDefault="00866727" w:rsidP="00057018">
          <w:pPr>
            <w:pStyle w:val="Nagwek"/>
            <w:jc w:val="center"/>
            <w:rPr>
              <w:rFonts w:cs="Tahoma"/>
              <w:color w:val="7F7F7F"/>
              <w:sz w:val="16"/>
              <w:szCs w:val="17"/>
              <w:lang w:eastAsia="pl-PL"/>
            </w:rPr>
          </w:pPr>
        </w:p>
      </w:tc>
    </w:tr>
  </w:tbl>
  <w:p w14:paraId="292462E7" w14:textId="27F2C2CC" w:rsidR="003F2DA1" w:rsidRDefault="003F2D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0E68"/>
    <w:multiLevelType w:val="hybridMultilevel"/>
    <w:tmpl w:val="AF1C40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5203A5"/>
    <w:multiLevelType w:val="hybridMultilevel"/>
    <w:tmpl w:val="FD484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91ABA"/>
    <w:multiLevelType w:val="hybridMultilevel"/>
    <w:tmpl w:val="61601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05546"/>
    <w:multiLevelType w:val="hybridMultilevel"/>
    <w:tmpl w:val="6F129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738977">
    <w:abstractNumId w:val="3"/>
  </w:num>
  <w:num w:numId="2" w16cid:durableId="892428812">
    <w:abstractNumId w:val="2"/>
  </w:num>
  <w:num w:numId="3" w16cid:durableId="1756901138">
    <w:abstractNumId w:val="0"/>
  </w:num>
  <w:num w:numId="4" w16cid:durableId="955722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E7E"/>
    <w:rsid w:val="002B005C"/>
    <w:rsid w:val="002B272C"/>
    <w:rsid w:val="002C2786"/>
    <w:rsid w:val="00367BE6"/>
    <w:rsid w:val="003C01C0"/>
    <w:rsid w:val="003F2DA1"/>
    <w:rsid w:val="004547C1"/>
    <w:rsid w:val="004B1FB1"/>
    <w:rsid w:val="00603276"/>
    <w:rsid w:val="00616A12"/>
    <w:rsid w:val="00677FFE"/>
    <w:rsid w:val="00866727"/>
    <w:rsid w:val="00A2673B"/>
    <w:rsid w:val="00C1193A"/>
    <w:rsid w:val="00CE0E7E"/>
    <w:rsid w:val="00E92784"/>
    <w:rsid w:val="00F1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94F96"/>
  <w15:docId w15:val="{5A0B854F-6DF6-43B3-96E3-68250C9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2D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F2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2DA1"/>
  </w:style>
  <w:style w:type="paragraph" w:styleId="Stopka">
    <w:name w:val="footer"/>
    <w:basedOn w:val="Normalny"/>
    <w:link w:val="StopkaZnak"/>
    <w:uiPriority w:val="99"/>
    <w:unhideWhenUsed/>
    <w:rsid w:val="003F2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DA1"/>
  </w:style>
  <w:style w:type="paragraph" w:styleId="Tekstdymka">
    <w:name w:val="Balloon Text"/>
    <w:basedOn w:val="Normalny"/>
    <w:link w:val="TekstdymkaZnak"/>
    <w:uiPriority w:val="99"/>
    <w:semiHidden/>
    <w:unhideWhenUsed/>
    <w:rsid w:val="00866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7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 2</dc:creator>
  <cp:keywords/>
  <dc:description/>
  <cp:lastModifiedBy>Nida Nidzica</cp:lastModifiedBy>
  <cp:revision>11</cp:revision>
  <dcterms:created xsi:type="dcterms:W3CDTF">2019-05-15T12:59:00Z</dcterms:created>
  <dcterms:modified xsi:type="dcterms:W3CDTF">2022-06-07T09:23:00Z</dcterms:modified>
</cp:coreProperties>
</file>