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start="0"/>
        <w:jc w:val="end"/>
        <w:rPr>
          <w:rFonts w:ascii="Calibri" w:hAnsi="Calibri"/>
          <w:sz w:val="16"/>
          <w:szCs w:val="16"/>
        </w:rPr>
      </w:pPr>
      <w:r>
        <w:rPr>
          <w:rFonts w:cs="Times New Roman" w:ascii="Calibri" w:hAnsi="Calibri"/>
          <w:sz w:val="16"/>
          <w:szCs w:val="16"/>
        </w:rPr>
        <w:t xml:space="preserve">Załącznik nr 6 do zapytania ofertowego </w:t>
      </w:r>
    </w:p>
    <w:p>
      <w:pPr>
        <w:pStyle w:val="Normal"/>
        <w:spacing w:lineRule="auto" w:line="240" w:before="0" w:after="0"/>
        <w:ind w:hanging="0" w:start="0"/>
        <w:jc w:val="end"/>
        <w:rPr>
          <w:rFonts w:ascii="Calibri" w:hAnsi="Calibri"/>
        </w:rPr>
      </w:pPr>
      <w:r>
        <w:rPr>
          <w:rFonts w:cs="Times New Roman" w:ascii="Calibri" w:hAnsi="Calibri"/>
          <w:sz w:val="16"/>
          <w:szCs w:val="16"/>
        </w:rPr>
        <w:t>nr WOA.271.6.2026.GKRPA.MG z dnia 12.05.2026 r.</w:t>
      </w:r>
    </w:p>
    <w:p>
      <w:pPr>
        <w:pStyle w:val="Normal"/>
        <w:spacing w:lineRule="auto" w:line="240" w:before="0" w:after="0"/>
        <w:ind w:hanging="0" w:start="0"/>
        <w:jc w:val="center"/>
        <w:rPr>
          <w:rFonts w:ascii="Calibri" w:hAnsi="Calibri" w:cs="Times New Roman"/>
          <w:sz w:val="24"/>
        </w:rPr>
      </w:pPr>
      <w:r>
        <w:rPr>
          <w:rFonts w:cs="Times New Roman" w:ascii="Calibri" w:hAnsi="Calibri"/>
          <w:sz w:val="24"/>
        </w:rPr>
      </w:r>
    </w:p>
    <w:p>
      <w:pPr>
        <w:pStyle w:val="Normal"/>
        <w:spacing w:lineRule="auto" w:line="240" w:before="0" w:after="0"/>
        <w:ind w:hanging="0" w:start="0"/>
        <w:jc w:val="center"/>
        <w:rPr>
          <w:rFonts w:ascii="Calibri" w:hAnsi="Calibri"/>
        </w:rPr>
      </w:pPr>
      <w:r>
        <w:rPr>
          <w:rFonts w:cs="Times New Roman" w:ascii="Calibri" w:hAnsi="Calibri"/>
          <w:sz w:val="24"/>
        </w:rPr>
        <w:t xml:space="preserve">Przedmiar  - I etapu wykonania systemu monitoringu </w:t>
      </w:r>
      <w:r>
        <w:rPr>
          <w:rFonts w:cs="Times New Roman" w:ascii="Calibri" w:hAnsi="Calibri"/>
          <w:b/>
          <w:sz w:val="24"/>
        </w:rPr>
        <w:t>Cmentarz Komunalny w Gryficach ul. Dąbskiego</w:t>
      </w:r>
      <w:r>
        <w:rPr>
          <w:rFonts w:cs="Times New Roman" w:ascii="Calibri" w:hAnsi="Calibri"/>
          <w:sz w:val="24"/>
        </w:rPr>
        <w:t xml:space="preserve"> :</w:t>
      </w:r>
    </w:p>
    <w:tbl>
      <w:tblPr>
        <w:tblStyle w:val="TableGrid"/>
        <w:tblW w:w="14578" w:type="dxa"/>
        <w:jc w:val="start"/>
        <w:tblInd w:w="-1258" w:type="dxa"/>
        <w:tblLayout w:type="fixed"/>
        <w:tblCellMar>
          <w:top w:w="40" w:type="dxa"/>
          <w:start w:w="18" w:type="dxa"/>
          <w:bottom w:w="0" w:type="dxa"/>
          <w:end w:w="26" w:type="dxa"/>
        </w:tblCellMar>
        <w:tblLook w:firstRow="1" w:noVBand="1" w:lastRow="0" w:firstColumn="1" w:lastColumn="0" w:noHBand="0" w:val="04a0"/>
      </w:tblPr>
      <w:tblGrid>
        <w:gridCol w:w="567"/>
        <w:gridCol w:w="5812"/>
        <w:gridCol w:w="2127"/>
        <w:gridCol w:w="1239"/>
        <w:gridCol w:w="13"/>
        <w:gridCol w:w="2827"/>
        <w:gridCol w:w="1981"/>
        <w:gridCol w:w="12"/>
      </w:tblGrid>
      <w:tr>
        <w:trPr>
          <w:trHeight w:val="421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Lp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1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Opis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Marka/Typ/model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Ilość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FFFF99" w:val="clea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Cena jednostkowa netto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 xml:space="preserve"> </w:t>
            </w: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z montażem</w:t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FFFF9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7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 xml:space="preserve">Wartość netto zł </w:t>
            </w:r>
          </w:p>
        </w:tc>
      </w:tr>
      <w:tr>
        <w:trPr>
          <w:trHeight w:val="416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4011" w:type="dxa"/>
            <w:gridSpan w:val="7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Monitoring Cmentarz Komunalny w Gryficach</w:t>
              <w:br/>
              <w:t xml:space="preserve"> ul. Dąbskiego   -etap I</w:t>
            </w:r>
          </w:p>
        </w:tc>
      </w:tr>
      <w:tr>
        <w:trPr>
          <w:trHeight w:val="657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Kamera typu bullet IP, rozdzielczość 8Mpx/4K OwlView, obiektyw 2.8mm, wbudowany mikrofon, oświetlacz światła białego LED do 30m, wbudowany czytnik kart do 256GB, obudowa min. IP67, stan dard/certyfikat bezpieczeństwa -zgodność z NDAA*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UNIVIEW / IPC2318LE ADF28KM-WP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16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Puszka przyłączeniowa dla kamer typu bullet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TR-JB05-B-IN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16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6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3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Adapter słupowy dla kamer typu bullet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TR-UP06-C-IN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16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4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Kamera IP, rozdzielczość 8Mpx/4K, typu kopułka AI, obiektyw szerokokątny 2.8mm, IR 30m, IP67, wandaloodporna IK10, obsługa trybu bu korytarzowego, , wbudowany czytnik kart do 512GB, wbudowany podwójny mikrofon i głośnik standard/certyfikat bezpieczeństwa -zgodność z NDAA*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5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Uchwyt ścienny dla kamer typu kopułka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TR-JB03-G-IN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6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both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Karta microSD z adapterem 64 GB- jako dodatkowa pamięć do kamer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17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6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7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Hermetyczny switch PoE do kamer i radiolinii/słupy oświetleniowe/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IPB-5-10A-S4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6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8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Adapter/ przetwonica napięcia 24V do zasilania radiolinii/ słupy oświetleniowe/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ASDC-12-240-HS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6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598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9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both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Rejestrator NVR 32xIP o rozdzielczości do 16Mpx, 4xHDD/do 8TB/, wsparcie dla kamer z AI, standard/certyfikat bezpieczeństwa -zgodność z NDAA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UNIVIEW/ NVR504-32B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10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 xml:space="preserve">Dysk HDD 8TB- dedykowany do systemów monitoringów 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WD/Seagate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11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en-US" w:eastAsia="pl-PL" w:bidi="ar-SA"/>
              </w:rPr>
              <w:t>Switch 8xPoE+1SFP+1x Gigabit Ethernet/ 120W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GF-110-8PG-S-120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55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12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Monitor 24, tryb pracy ciągłej 24/7- dedykowany do systemów monitoringu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UNIVIEW/ MW-LC24-E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9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13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Radiolinia Ubiquiti 5GHz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Loco5AC</w:t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9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14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Szafa rack 19”/6U 520 x 450 – wisząca+ półka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936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4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15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Akcesoria instalacyjne i montażowe do szafy rack/listwa zasilająca itp./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4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4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576" w:hRule="atLeast"/>
        </w:trPr>
        <w:tc>
          <w:tcPr>
            <w:tcW w:w="567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92" w:start="92" w:end="-309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16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370" w:start="92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370" w:start="92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Modyfikacja/ zmiana zasilania oświetlenia zewnętrznego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37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37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6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4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3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22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Dodatkowe okablowanie, materiały instalacyjne, motażowe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15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1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Przewód UTP kat.5/zewnętrzny/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240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6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2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Materiały instalacyjne/ korytka, rurki elektroinstalacyjne, itp./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240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6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14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134"/>
              <w:jc w:val="start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3</w:t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both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Akcesoria instalacyjne i montażowe/kamery, radiolinie, rejestrator itp./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  <w:t>20</w:t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8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415" w:hRule="atLeast"/>
        </w:trPr>
        <w:tc>
          <w:tcPr>
            <w:tcW w:w="56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581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both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Koszty inne i dodatkowe/ np. Dojazdy, szkolenie, dokumentacja powykonawcza itp./</w:t>
            </w:r>
          </w:p>
        </w:tc>
        <w:tc>
          <w:tcPr>
            <w:tcW w:w="21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4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3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9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83CAFF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"/>
              <w:jc w:val="center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  <w:tr>
        <w:trPr>
          <w:trHeight w:val="1257" w:hRule="atLeast"/>
        </w:trPr>
        <w:tc>
          <w:tcPr>
            <w:tcW w:w="567" w:type="dxa"/>
            <w:tcBorders>
              <w:top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5812" w:type="dxa"/>
            <w:tcBorders>
              <w:top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3366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Times New Roman"/>
                <w:kern w:val="2"/>
                <w:sz w:val="24"/>
                <w:szCs w:val="24"/>
                <w:lang w:val="pl-PL" w:eastAsia="pl-PL" w:bidi="ar-SA"/>
              </w:rPr>
            </w:pPr>
            <w:r>
              <w:rPr>
                <w:rFonts w:cs="Times New Roman" w:ascii="Calibri" w:hAnsi="Calibri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2840" w:type="dxa"/>
            <w:gridSpan w:val="2"/>
            <w:tcBorders>
              <w:top w:val="single" w:sz="2" w:space="0" w:color="000000"/>
            </w:tcBorders>
            <w:shd w:color="auto" w:fill="FFFFCC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Razem netto: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VAT 23%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Razem brutto:</w:t>
            </w:r>
          </w:p>
        </w:tc>
        <w:tc>
          <w:tcPr>
            <w:tcW w:w="1981" w:type="dxa"/>
            <w:tcBorders>
              <w:top w:val="single" w:sz="2" w:space="0" w:color="000000"/>
            </w:tcBorders>
            <w:shd w:color="auto" w:fill="FFFFCC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 xml:space="preserve">…………… </w:t>
            </w: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zł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…</w:t>
            </w: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..………. zł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start="0"/>
              <w:jc w:val="center"/>
              <w:rPr>
                <w:rFonts w:ascii="Calibri" w:hAnsi="Calibri"/>
              </w:rPr>
            </w:pPr>
            <w:r>
              <w:rPr>
                <w:rFonts w:cs="Times New Roman" w:ascii="Calibri" w:hAnsi="Calibri"/>
                <w:b/>
                <w:kern w:val="2"/>
                <w:sz w:val="24"/>
                <w:szCs w:val="24"/>
                <w:lang w:val="pl-PL" w:eastAsia="pl-PL" w:bidi="ar-SA"/>
              </w:rPr>
              <w:t>...…………. zł</w:t>
            </w:r>
          </w:p>
        </w:tc>
        <w:tc>
          <w:tcPr>
            <w:tcW w:w="1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jc w:val="start"/>
              <w:rPr>
                <w:rFonts w:ascii="Calibri" w:hAnsi="Calibri"/>
                <w:sz w:val="2"/>
              </w:rPr>
            </w:pPr>
            <w:r>
              <w:rPr>
                <w:rFonts w:ascii="Calibri" w:hAnsi="Calibri"/>
                <w:sz w:val="2"/>
              </w:rPr>
            </w:r>
          </w:p>
        </w:tc>
      </w:tr>
    </w:tbl>
    <w:p>
      <w:pPr>
        <w:pStyle w:val="Normal"/>
        <w:spacing w:before="0" w:after="4"/>
        <w:ind w:hanging="0" w:start="0"/>
        <w:rPr>
          <w:rFonts w:ascii="Calibri" w:hAnsi="Calibri" w:cs="Times New Roman"/>
          <w:sz w:val="24"/>
        </w:rPr>
      </w:pPr>
      <w:r>
        <w:rPr>
          <w:rFonts w:cs="Times New Roman" w:ascii="Calibri" w:hAnsi="Calibri"/>
          <w:sz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2416" w:right="709" w:gutter="0" w:header="757" w:top="814" w:footer="774" w:bottom="1028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EEEEEE"/>
      <w:spacing w:lineRule="auto" w:line="259" w:before="0" w:after="0"/>
      <w:ind w:hanging="0" w:start="32"/>
      <w:jc w:val="center"/>
      <w:rPr/>
    </w:pPr>
    <w:r>
      <mc:AlternateContent>
        <mc:Choice Requires="wpg">
          <w:drawing>
            <wp:anchor distT="0" distB="0" distL="113665" distR="113030" simplePos="0" relativeHeight="2" behindDoc="1" locked="0" layoutInCell="0" allowOverlap="1" wp14:anchorId="2E56BC6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506210" cy="3810"/>
              <wp:effectExtent l="635" t="5080" r="1270" b="5715"/>
              <wp:wrapSquare wrapText="bothSides"/>
              <wp:docPr id="2" name="Group 7298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6280" cy="3960"/>
                        <a:chOff x="0" y="0"/>
                        <a:chExt cx="6506280" cy="3960"/>
                      </a:xfrm>
                    </wpg:grpSpPr>
                    <wps:wsp>
                      <wps:cNvPr id="3" name="Shape 7299"/>
                      <wps:cNvSpPr/>
                      <wps:spPr>
                        <a:xfrm>
                          <a:off x="0" y="0"/>
                          <a:ext cx="6506280" cy="3960"/>
                        </a:xfrm>
                        <a:custGeom>
                          <a:avLst/>
                          <a:gdLst>
                            <a:gd name="textAreaLeft" fmla="*/ 0 w 3688560"/>
                            <a:gd name="textAreaRight" fmla="*/ 3688920 w 3688560"/>
                            <a:gd name="textAreaTop" fmla="*/ 0 h 2160"/>
                            <a:gd name="textAreaBottom" fmla="*/ 2520 h 21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6506210" h="3810">
                              <a:moveTo>
                                <a:pt x="6506210" y="381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style>
                        <a:lnRef idx="1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7298" style="position:absolute;margin-left:0pt;margin-top:0pt;width:512.3pt;height:0.3pt" coordorigin="0,0" coordsize="10246,6"/>
          </w:pict>
        </mc:Fallback>
      </mc:AlternateContent>
    </w:r>
    <w:r>
      <w:rPr>
        <w:rFonts w:eastAsia="Arial" w:cs="Arial" w:ascii="Arial" w:hAnsi="Arial"/>
        <w:b/>
        <w:i/>
        <w:sz w:val="16"/>
      </w:rPr>
      <w:t xml:space="preserve">NIP: 8513274103       REGON: 522045694       KRS: </w:t>
    </w:r>
    <w:r>
      <w:rPr>
        <w:rFonts w:eastAsia="Arial" w:cs="Arial" w:ascii="Arial" w:hAnsi="Arial"/>
        <w:b/>
        <w:sz w:val="16"/>
      </w:rPr>
      <w:t>0000970197</w:t>
    </w:r>
  </w:p>
  <w:p>
    <w:pPr>
      <w:pStyle w:val="Normal"/>
      <w:spacing w:lineRule="auto" w:line="259" w:before="0" w:after="0"/>
      <w:ind w:hanging="0" w:start="1836"/>
      <w:rPr/>
    </w:pPr>
    <w:r>
      <w:rPr>
        <w:rFonts w:eastAsia="Arial" w:cs="Arial" w:ascii="Arial" w:hAnsi="Arial"/>
        <w:sz w:val="16"/>
      </w:rPr>
      <w:t>Sąd Rejonowy w Szczecinie, XVII Wydział Gospodarczy Krajowego Rejestru Sądowego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876" w:leader="none"/>
        <w:tab w:val="center" w:pos="8100" w:leader="none"/>
      </w:tabs>
      <w:spacing w:lineRule="auto" w:line="259" w:before="0" w:after="0"/>
      <w:ind w:hanging="0" w:start="0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600710</wp:posOffset>
          </wp:positionH>
          <wp:positionV relativeFrom="page">
            <wp:posOffset>524510</wp:posOffset>
          </wp:positionV>
          <wp:extent cx="2404745" cy="527685"/>
          <wp:effectExtent l="0" t="0" r="0" b="0"/>
          <wp:wrapSquare wrapText="bothSides"/>
          <wp:docPr id="1" name="Picture 4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97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527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ab/>
    </w:r>
    <w:r>
      <w:rPr>
        <w:rFonts w:eastAsia="Arial" w:cs="Arial" w:ascii="Arial" w:hAnsi="Arial"/>
        <w:b/>
        <w:sz w:val="16"/>
      </w:rPr>
      <w:t>- Alarmy SSWiN</w:t>
      <w:tab/>
      <w:t>- Kontrola dostępu</w:t>
    </w:r>
  </w:p>
  <w:p>
    <w:pPr>
      <w:pStyle w:val="Normal"/>
      <w:tabs>
        <w:tab w:val="clear" w:pos="708"/>
        <w:tab w:val="center" w:pos="5143" w:leader="none"/>
        <w:tab w:val="center" w:pos="8265" w:leader="none"/>
      </w:tabs>
      <w:spacing w:lineRule="auto" w:line="259" w:before="0" w:after="0"/>
      <w:ind w:hanging="0" w:start="0"/>
      <w:rPr/>
    </w:pPr>
    <w:r>
      <w:rPr>
        <w:sz w:val="22"/>
      </w:rPr>
      <w:tab/>
    </w:r>
    <w:r>
      <w:rPr>
        <w:rFonts w:eastAsia="Arial" w:cs="Arial" w:ascii="Arial" w:hAnsi="Arial"/>
        <w:b/>
        <w:sz w:val="16"/>
      </w:rPr>
      <w:t>- Monitoring wizyjny IP</w:t>
      <w:tab/>
      <w:t>- Systemy p- poż i DSO</w:t>
    </w:r>
  </w:p>
  <w:p>
    <w:pPr>
      <w:pStyle w:val="Normal"/>
      <w:tabs>
        <w:tab w:val="clear" w:pos="708"/>
        <w:tab w:val="center" w:pos="5435" w:leader="none"/>
        <w:tab w:val="center" w:pos="7923" w:leader="none"/>
      </w:tabs>
      <w:spacing w:lineRule="auto" w:line="259" w:before="0" w:after="0"/>
      <w:ind w:hanging="0" w:start="0"/>
      <w:rPr/>
    </w:pPr>
    <w:r>
      <w:rPr>
        <w:sz w:val="22"/>
      </w:rPr>
      <w:tab/>
    </w:r>
    <w:r>
      <w:rPr>
        <w:rFonts w:eastAsia="Arial" w:cs="Arial" w:ascii="Arial" w:hAnsi="Arial"/>
        <w:b/>
        <w:sz w:val="16"/>
      </w:rPr>
      <w:t>- Telewizja przemysłowa CCTV</w:t>
      <w:tab/>
      <w:t>- Klimatyzacje</w:t>
    </w:r>
  </w:p>
  <w:p>
    <w:pPr>
      <w:pStyle w:val="Normal"/>
      <w:tabs>
        <w:tab w:val="clear" w:pos="708"/>
        <w:tab w:val="center" w:pos="5299" w:leader="none"/>
        <w:tab w:val="center" w:pos="8230" w:leader="none"/>
      </w:tabs>
      <w:spacing w:lineRule="auto" w:line="259" w:before="0" w:after="0"/>
      <w:ind w:hanging="0" w:start="0"/>
      <w:rPr/>
    </w:pPr>
    <w:r>
      <w:rPr>
        <w:sz w:val="22"/>
      </w:rPr>
      <w:tab/>
    </w:r>
    <w:r>
      <w:rPr>
        <w:rFonts w:eastAsia="Arial" w:cs="Arial" w:ascii="Arial" w:hAnsi="Arial"/>
        <w:b/>
        <w:sz w:val="16"/>
      </w:rPr>
      <w:t>- Instalacje światłowodowe</w:t>
      <w:tab/>
      <w:t>- Nadzór, konserwacje</w:t>
    </w:r>
  </w:p>
  <w:p>
    <w:pPr>
      <w:pStyle w:val="Normal"/>
      <w:tabs>
        <w:tab w:val="clear" w:pos="708"/>
        <w:tab w:val="center" w:pos="5178" w:leader="none"/>
        <w:tab w:val="center" w:pos="7755" w:leader="none"/>
      </w:tabs>
      <w:spacing w:lineRule="auto" w:line="259" w:before="0" w:after="196"/>
      <w:ind w:hanging="0" w:start="0"/>
      <w:rPr/>
    </w:pPr>
    <w:r>
      <w:rPr>
        <w:sz w:val="22"/>
      </w:rPr>
      <w:tab/>
    </w:r>
    <w:r>
      <w:rPr>
        <w:rFonts w:eastAsia="Arial" w:cs="Arial" w:ascii="Arial" w:hAnsi="Arial"/>
        <w:b/>
        <w:sz w:val="16"/>
      </w:rPr>
      <w:t>- Systemy detekcji gazu</w:t>
      <w:tab/>
      <w:t>- Pomiary</w:t>
    </w:r>
  </w:p>
  <w:p>
    <w:pPr>
      <w:pStyle w:val="Normal"/>
      <w:shd w:val="clear" w:color="auto" w:fill="000000"/>
      <w:spacing w:lineRule="auto" w:line="259" w:before="0" w:after="0"/>
      <w:ind w:hanging="0" w:start="20" w:end="-8"/>
      <w:jc w:val="both"/>
      <w:rPr/>
    </w:pPr>
    <w:r>
      <w:rPr>
        <w:rFonts w:eastAsia="Arial" w:cs="Arial" w:ascii="Arial" w:hAnsi="Arial"/>
        <w:color w:val="FFFFFF"/>
        <w:sz w:val="16"/>
      </w:rPr>
      <w:t xml:space="preserve"> </w:t>
    </w:r>
    <w:r>
      <w:rPr>
        <w:rFonts w:eastAsia="Arial" w:cs="Arial" w:ascii="Arial" w:hAnsi="Arial"/>
        <w:color w:val="FFFFFF"/>
        <w:sz w:val="16"/>
      </w:rPr>
      <w:t>Brabax Sp. z o.o.          ul. Nad Odrą 39,        71-828 SZCZECIN          tel. +48 91 307 09 37            serwis@brabax.pl  .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0" w:before="0" w:after="4"/>
      <w:ind w:hanging="370" w:start="390"/>
      <w:jc w:val="start"/>
    </w:pPr>
    <w:rPr>
      <w:rFonts w:ascii="Calibri" w:hAnsi="Calibri" w:eastAsia="Calibri" w:cs="Calibri"/>
      <w:color w:val="000000"/>
      <w:kern w:val="2"/>
      <w:sz w:val="20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50d5"/>
    <w:rPr>
      <w:rFonts w:ascii="Calibri" w:hAnsi="Calibri" w:eastAsia="Calibri" w:cs="Calibri"/>
      <w:color w:val="000000"/>
      <w:sz w:val="20"/>
    </w:rPr>
  </w:style>
  <w:style w:type="character" w:styleId="StopkaZnak" w:customStyle="1">
    <w:name w:val="Stopka Znak"/>
    <w:basedOn w:val="DefaultParagraphFont"/>
    <w:uiPriority w:val="99"/>
    <w:semiHidden/>
    <w:qFormat/>
    <w:rsid w:val="00e71209"/>
    <w:rPr>
      <w:rFonts w:ascii="Calibri" w:hAnsi="Calibri" w:eastAsia="Calibri" w:cs="Calibri"/>
      <w:color w:val="000000"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a50d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semiHidden/>
    <w:unhideWhenUsed/>
    <w:rsid w:val="00e7120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itchFamily="0" charset="1"/>
        <a:ea typeface=""/>
        <a:cs typeface=""/>
      </a:majorFont>
      <a:minorFont>
        <a:latin typeface="Apto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LibreOffice/25.8.5.2$Windows_X86_64 LibreOffice_project/9c8b85f387cc00a89945a79c9e6239f32e450ac2</Application>
  <AppVersion>15.0000</AppVersion>
  <Pages>3</Pages>
  <Words>391</Words>
  <Characters>2350</Characters>
  <CharactersWithSpaces>2709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2026-05-12T10:01:00Z</dcterms:created>
  <dc:creator>sato</dc:creator>
  <dc:description/>
  <dc:language>pl-PL</dc:language>
  <cp:lastModifiedBy/>
  <dcterms:modified xsi:type="dcterms:W3CDTF">2026-05-13T10:33:59Z</dcterms:modified>
  <cp:revision>4</cp:revision>
  <dc:subject/>
  <dc:title>Szczecin, dn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