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757" w:rsidRDefault="004B6757" w:rsidP="004B6757">
      <w:pPr>
        <w:jc w:val="center"/>
        <w:rPr>
          <w:rFonts w:ascii="Times New Roman" w:hAnsi="Times New Roman" w:cs="Times New Roman"/>
          <w:sz w:val="20"/>
          <w:szCs w:val="20"/>
        </w:rPr>
      </w:pPr>
      <w:r w:rsidRPr="004B6757">
        <w:rPr>
          <w:rFonts w:ascii="Times New Roman" w:hAnsi="Times New Roman" w:cs="Times New Roman"/>
          <w:sz w:val="20"/>
          <w:szCs w:val="20"/>
        </w:rPr>
        <w:t>Opis przedmiotu zamówienia</w:t>
      </w:r>
    </w:p>
    <w:p w:rsidR="004B6757" w:rsidRDefault="008A3565" w:rsidP="008A3565">
      <w:pPr>
        <w:ind w:left="360" w:firstLine="348"/>
        <w:jc w:val="both"/>
        <w:rPr>
          <w:rFonts w:ascii="Times New Roman" w:hAnsi="Times New Roman" w:cs="Times New Roman"/>
          <w:sz w:val="20"/>
          <w:szCs w:val="20"/>
        </w:rPr>
      </w:pPr>
      <w:r w:rsidRPr="008A3565">
        <w:rPr>
          <w:rFonts w:ascii="Times New Roman" w:hAnsi="Times New Roman" w:cs="Times New Roman"/>
          <w:sz w:val="20"/>
          <w:szCs w:val="20"/>
        </w:rPr>
        <w:t xml:space="preserve">Przedmiotem zamówienia jest </w:t>
      </w:r>
      <w:r w:rsidR="004B6757" w:rsidRPr="008A3565">
        <w:rPr>
          <w:rFonts w:ascii="Times New Roman" w:hAnsi="Times New Roman" w:cs="Times New Roman"/>
          <w:sz w:val="20"/>
          <w:szCs w:val="20"/>
        </w:rPr>
        <w:t xml:space="preserve">wyposażenie </w:t>
      </w:r>
      <w:r w:rsidR="00292D71">
        <w:rPr>
          <w:rFonts w:ascii="Times New Roman" w:hAnsi="Times New Roman" w:cs="Times New Roman"/>
          <w:sz w:val="20"/>
          <w:szCs w:val="20"/>
        </w:rPr>
        <w:t xml:space="preserve">w system monitoringu </w:t>
      </w:r>
      <w:r w:rsidR="004B6757" w:rsidRPr="008A3565">
        <w:rPr>
          <w:rFonts w:ascii="Times New Roman" w:hAnsi="Times New Roman" w:cs="Times New Roman"/>
          <w:sz w:val="20"/>
          <w:szCs w:val="20"/>
        </w:rPr>
        <w:t xml:space="preserve">pomieszczenia </w:t>
      </w:r>
      <w:r w:rsidR="00C57FD2" w:rsidRPr="008A3565">
        <w:rPr>
          <w:rFonts w:ascii="Times New Roman" w:hAnsi="Times New Roman" w:cs="Times New Roman"/>
          <w:sz w:val="20"/>
          <w:szCs w:val="20"/>
        </w:rPr>
        <w:t>zlokalizowan</w:t>
      </w:r>
      <w:r w:rsidR="00B06FB7">
        <w:rPr>
          <w:rFonts w:ascii="Times New Roman" w:hAnsi="Times New Roman" w:cs="Times New Roman"/>
          <w:sz w:val="20"/>
          <w:szCs w:val="20"/>
        </w:rPr>
        <w:t>ego</w:t>
      </w:r>
      <w:r w:rsidR="00C57FD2" w:rsidRPr="008A3565">
        <w:rPr>
          <w:rFonts w:ascii="Times New Roman" w:hAnsi="Times New Roman" w:cs="Times New Roman"/>
          <w:sz w:val="20"/>
          <w:szCs w:val="20"/>
        </w:rPr>
        <w:t xml:space="preserve"> w </w:t>
      </w:r>
      <w:r w:rsidR="00C71731">
        <w:rPr>
          <w:rFonts w:ascii="Times New Roman" w:hAnsi="Times New Roman" w:cs="Times New Roman"/>
          <w:sz w:val="20"/>
          <w:szCs w:val="20"/>
        </w:rPr>
        <w:t>budynkach OPP Zaczernie</w:t>
      </w:r>
      <w:r w:rsidR="00C57FD2" w:rsidRPr="008A3565">
        <w:rPr>
          <w:rFonts w:ascii="Times New Roman" w:hAnsi="Times New Roman" w:cs="Times New Roman"/>
          <w:sz w:val="20"/>
          <w:szCs w:val="20"/>
        </w:rPr>
        <w:t xml:space="preserve"> 187.</w:t>
      </w:r>
    </w:p>
    <w:p w:rsidR="00292D71" w:rsidRPr="00292D71" w:rsidRDefault="00B06FB7" w:rsidP="00292D71">
      <w:pPr>
        <w:ind w:left="360" w:firstLine="348"/>
        <w:jc w:val="both"/>
        <w:rPr>
          <w:rFonts w:ascii="Times New Roman" w:hAnsi="Times New Roman" w:cs="Times New Roman"/>
          <w:sz w:val="20"/>
          <w:szCs w:val="20"/>
        </w:rPr>
      </w:pPr>
      <w:r>
        <w:rPr>
          <w:rFonts w:ascii="Times New Roman" w:hAnsi="Times New Roman" w:cs="Times New Roman"/>
          <w:sz w:val="20"/>
          <w:szCs w:val="20"/>
        </w:rPr>
        <w:t>Pomieszczenie</w:t>
      </w:r>
      <w:r w:rsidR="00292D71" w:rsidRPr="00292D71">
        <w:rPr>
          <w:rFonts w:ascii="Times New Roman" w:hAnsi="Times New Roman" w:cs="Times New Roman"/>
          <w:sz w:val="20"/>
          <w:szCs w:val="20"/>
        </w:rPr>
        <w:t xml:space="preserve"> stanowi obszar o szczególnym znaczeniu z punktu widzenia bezpieczeństwa organizacyjnego, odpowiedzialności służbowej oraz ochrony mienia. Obecne realia wymagają stosowania rozwiązań, które umożliwią skuteczniejsze sprawowanie nadzoru nad dostępem do tego miejsca, rejestrowanie zdarzeń oraz szybkie wyjaśnianie ewentualnych sytuacji spornych, incydentów lub naruszeń procedur.</w:t>
      </w:r>
    </w:p>
    <w:p w:rsidR="00292D71" w:rsidRPr="00292D71"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Montaż kamer CCTV w tej strefie pozwoli w szczególności na:</w:t>
      </w:r>
    </w:p>
    <w:p w:rsidR="00292D71" w:rsidRPr="00292D71"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 zwiększenie poziomu kontroli nad dostępem</w:t>
      </w:r>
      <w:r w:rsidR="00B06FB7">
        <w:rPr>
          <w:rFonts w:ascii="Times New Roman" w:hAnsi="Times New Roman" w:cs="Times New Roman"/>
          <w:sz w:val="20"/>
          <w:szCs w:val="20"/>
        </w:rPr>
        <w:t xml:space="preserve"> do pomieszczenia</w:t>
      </w:r>
      <w:r w:rsidRPr="00292D71">
        <w:rPr>
          <w:rFonts w:ascii="Times New Roman" w:hAnsi="Times New Roman" w:cs="Times New Roman"/>
          <w:sz w:val="20"/>
          <w:szCs w:val="20"/>
        </w:rPr>
        <w:t>,</w:t>
      </w:r>
    </w:p>
    <w:p w:rsidR="00292D71" w:rsidRPr="00292D71"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 poprawę bezpieczeństwa pracowników oraz osób przebywających w budynku,</w:t>
      </w:r>
    </w:p>
    <w:p w:rsidR="00292D71" w:rsidRPr="00292D71"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 xml:space="preserve">• ograniczenie ryzyka nieuprawnionego dostępu, </w:t>
      </w:r>
    </w:p>
    <w:p w:rsidR="00292D71" w:rsidRPr="00292D71"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 zapewnienie materiału rejestrowego na potrzeby kontroli wewnętrznej,</w:t>
      </w:r>
    </w:p>
    <w:p w:rsidR="00292D71" w:rsidRPr="00292D71"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 xml:space="preserve">• podniesienie standardów zabezpieczenia. </w:t>
      </w:r>
    </w:p>
    <w:p w:rsidR="00292D71" w:rsidRPr="008A3565" w:rsidRDefault="00292D71" w:rsidP="00292D71">
      <w:pPr>
        <w:ind w:left="360" w:firstLine="348"/>
        <w:jc w:val="both"/>
        <w:rPr>
          <w:rFonts w:ascii="Times New Roman" w:hAnsi="Times New Roman" w:cs="Times New Roman"/>
          <w:sz w:val="20"/>
          <w:szCs w:val="20"/>
        </w:rPr>
      </w:pPr>
      <w:r w:rsidRPr="00292D71">
        <w:rPr>
          <w:rFonts w:ascii="Times New Roman" w:hAnsi="Times New Roman" w:cs="Times New Roman"/>
          <w:sz w:val="20"/>
          <w:szCs w:val="20"/>
        </w:rPr>
        <w:t xml:space="preserve"> Wprowadzenie monitoringu wizyjnego należy traktować jako działanie prewencyjne i organizacyjne, służące wzmocnieniu istniejących procedur ochrony oraz zwiększeniu pr</w:t>
      </w:r>
      <w:r w:rsidR="00B06FB7">
        <w:rPr>
          <w:rFonts w:ascii="Times New Roman" w:hAnsi="Times New Roman" w:cs="Times New Roman"/>
          <w:sz w:val="20"/>
          <w:szCs w:val="20"/>
        </w:rPr>
        <w:t>zejrzystości czynności służbowych</w:t>
      </w:r>
      <w:r w:rsidRPr="00292D71">
        <w:rPr>
          <w:rFonts w:ascii="Times New Roman" w:hAnsi="Times New Roman" w:cs="Times New Roman"/>
          <w:sz w:val="20"/>
          <w:szCs w:val="20"/>
        </w:rPr>
        <w:t xml:space="preserve">. Rozwiązanie to może również wpłynąć na usprawnienie nadzoru wewnętrznego i podniesienie ogólnego poziomu zabezpieczenia pomieszczeń WPA. </w:t>
      </w:r>
    </w:p>
    <w:p w:rsidR="004B6757" w:rsidRPr="00C71731" w:rsidRDefault="004B6757" w:rsidP="00C71731">
      <w:pPr>
        <w:pStyle w:val="Akapitzlist"/>
        <w:numPr>
          <w:ilvl w:val="0"/>
          <w:numId w:val="4"/>
        </w:numPr>
        <w:jc w:val="both"/>
        <w:rPr>
          <w:rFonts w:ascii="Times New Roman" w:hAnsi="Times New Roman" w:cs="Times New Roman"/>
          <w:sz w:val="20"/>
          <w:szCs w:val="20"/>
        </w:rPr>
      </w:pPr>
      <w:r w:rsidRPr="00C71731">
        <w:rPr>
          <w:rFonts w:ascii="Times New Roman" w:hAnsi="Times New Roman" w:cs="Times New Roman"/>
          <w:sz w:val="20"/>
          <w:szCs w:val="20"/>
        </w:rPr>
        <w:t xml:space="preserve">W skład </w:t>
      </w:r>
      <w:r w:rsidR="007A760E" w:rsidRPr="00C71731">
        <w:rPr>
          <w:rFonts w:ascii="Times New Roman" w:hAnsi="Times New Roman" w:cs="Times New Roman"/>
          <w:sz w:val="20"/>
          <w:szCs w:val="20"/>
        </w:rPr>
        <w:t>wyposażenia</w:t>
      </w:r>
      <w:r w:rsidRPr="00C71731">
        <w:rPr>
          <w:rFonts w:ascii="Times New Roman" w:hAnsi="Times New Roman" w:cs="Times New Roman"/>
          <w:sz w:val="20"/>
          <w:szCs w:val="20"/>
        </w:rPr>
        <w:t xml:space="preserve"> wchodzą następujące systemy i urządzenia:</w:t>
      </w:r>
    </w:p>
    <w:p w:rsidR="00C71731" w:rsidRDefault="004B6757" w:rsidP="00C71731">
      <w:pPr>
        <w:ind w:left="708" w:firstLine="348"/>
        <w:rPr>
          <w:rFonts w:ascii="Times New Roman" w:hAnsi="Times New Roman" w:cs="Times New Roman"/>
          <w:sz w:val="20"/>
          <w:szCs w:val="20"/>
        </w:rPr>
      </w:pPr>
      <w:r w:rsidRPr="008A3565">
        <w:rPr>
          <w:rFonts w:ascii="Times New Roman" w:hAnsi="Times New Roman" w:cs="Times New Roman"/>
          <w:sz w:val="20"/>
          <w:szCs w:val="20"/>
        </w:rPr>
        <w:t>Monitoring wizyjny powinien być wyposażony:</w:t>
      </w:r>
    </w:p>
    <w:p w:rsidR="00C71731" w:rsidRDefault="008A3565" w:rsidP="00C71731">
      <w:pPr>
        <w:pStyle w:val="Akapitzlist"/>
        <w:numPr>
          <w:ilvl w:val="0"/>
          <w:numId w:val="5"/>
        </w:numPr>
        <w:ind w:left="360" w:firstLine="774"/>
        <w:rPr>
          <w:rFonts w:ascii="Times New Roman" w:hAnsi="Times New Roman" w:cs="Times New Roman"/>
          <w:sz w:val="20"/>
          <w:szCs w:val="20"/>
        </w:rPr>
      </w:pPr>
      <w:r w:rsidRPr="00C71731">
        <w:rPr>
          <w:rFonts w:ascii="Times New Roman" w:hAnsi="Times New Roman" w:cs="Times New Roman"/>
          <w:sz w:val="20"/>
          <w:szCs w:val="20"/>
        </w:rPr>
        <w:t>Rejestrator – 1 szt.</w:t>
      </w:r>
    </w:p>
    <w:p w:rsidR="00C71731" w:rsidRDefault="008A3565" w:rsidP="00C71731">
      <w:pPr>
        <w:pStyle w:val="Akapitzlist"/>
        <w:numPr>
          <w:ilvl w:val="0"/>
          <w:numId w:val="5"/>
        </w:numPr>
        <w:ind w:left="360" w:firstLine="774"/>
        <w:rPr>
          <w:rFonts w:ascii="Times New Roman" w:hAnsi="Times New Roman" w:cs="Times New Roman"/>
          <w:sz w:val="20"/>
          <w:szCs w:val="20"/>
        </w:rPr>
      </w:pPr>
      <w:r w:rsidRPr="00C71731">
        <w:rPr>
          <w:rFonts w:ascii="Times New Roman" w:hAnsi="Times New Roman" w:cs="Times New Roman"/>
          <w:sz w:val="20"/>
          <w:szCs w:val="20"/>
        </w:rPr>
        <w:t xml:space="preserve">Kamery </w:t>
      </w:r>
      <w:r w:rsidR="004B6757" w:rsidRPr="00C71731">
        <w:rPr>
          <w:rFonts w:ascii="Times New Roman" w:hAnsi="Times New Roman" w:cs="Times New Roman"/>
          <w:sz w:val="20"/>
          <w:szCs w:val="20"/>
        </w:rPr>
        <w:t xml:space="preserve"> – </w:t>
      </w:r>
      <w:r w:rsidRPr="00C71731">
        <w:rPr>
          <w:rFonts w:ascii="Times New Roman" w:hAnsi="Times New Roman" w:cs="Times New Roman"/>
          <w:sz w:val="20"/>
          <w:szCs w:val="20"/>
        </w:rPr>
        <w:t>3</w:t>
      </w:r>
      <w:r w:rsidR="004B6757" w:rsidRPr="00C71731">
        <w:rPr>
          <w:rFonts w:ascii="Times New Roman" w:hAnsi="Times New Roman" w:cs="Times New Roman"/>
          <w:sz w:val="20"/>
          <w:szCs w:val="20"/>
        </w:rPr>
        <w:t xml:space="preserve"> szt.</w:t>
      </w:r>
    </w:p>
    <w:p w:rsidR="00C71731" w:rsidRDefault="004B6757" w:rsidP="00C71731">
      <w:pPr>
        <w:pStyle w:val="Akapitzlist"/>
        <w:numPr>
          <w:ilvl w:val="0"/>
          <w:numId w:val="5"/>
        </w:numPr>
        <w:ind w:left="360" w:firstLine="774"/>
        <w:rPr>
          <w:rFonts w:ascii="Times New Roman" w:hAnsi="Times New Roman" w:cs="Times New Roman"/>
          <w:sz w:val="20"/>
          <w:szCs w:val="20"/>
        </w:rPr>
      </w:pPr>
      <w:r w:rsidRPr="00C71731">
        <w:rPr>
          <w:rFonts w:ascii="Times New Roman" w:hAnsi="Times New Roman" w:cs="Times New Roman"/>
          <w:sz w:val="20"/>
          <w:szCs w:val="20"/>
        </w:rPr>
        <w:t xml:space="preserve">Dysk twardy HDD </w:t>
      </w:r>
      <w:r w:rsidR="00292D71">
        <w:rPr>
          <w:rFonts w:ascii="Times New Roman" w:hAnsi="Times New Roman" w:cs="Times New Roman"/>
          <w:sz w:val="20"/>
          <w:szCs w:val="20"/>
        </w:rPr>
        <w:t>10</w:t>
      </w:r>
      <w:r w:rsidRPr="00C71731">
        <w:rPr>
          <w:rFonts w:ascii="Times New Roman" w:hAnsi="Times New Roman" w:cs="Times New Roman"/>
          <w:sz w:val="20"/>
          <w:szCs w:val="20"/>
        </w:rPr>
        <w:t xml:space="preserve">TB – </w:t>
      </w:r>
      <w:r w:rsidR="008A3565" w:rsidRPr="00C71731">
        <w:rPr>
          <w:rFonts w:ascii="Times New Roman" w:hAnsi="Times New Roman" w:cs="Times New Roman"/>
          <w:sz w:val="20"/>
          <w:szCs w:val="20"/>
        </w:rPr>
        <w:t>2</w:t>
      </w:r>
      <w:r w:rsidRPr="00C71731">
        <w:rPr>
          <w:rFonts w:ascii="Times New Roman" w:hAnsi="Times New Roman" w:cs="Times New Roman"/>
          <w:sz w:val="20"/>
          <w:szCs w:val="20"/>
        </w:rPr>
        <w:t xml:space="preserve"> szt.</w:t>
      </w:r>
    </w:p>
    <w:p w:rsidR="00C71731" w:rsidRDefault="008A3565" w:rsidP="00C71731">
      <w:pPr>
        <w:pStyle w:val="Akapitzlist"/>
        <w:numPr>
          <w:ilvl w:val="0"/>
          <w:numId w:val="5"/>
        </w:numPr>
        <w:ind w:left="360" w:firstLine="774"/>
        <w:rPr>
          <w:rFonts w:ascii="Times New Roman" w:hAnsi="Times New Roman" w:cs="Times New Roman"/>
          <w:sz w:val="20"/>
          <w:szCs w:val="20"/>
        </w:rPr>
      </w:pPr>
      <w:r w:rsidRPr="00C71731">
        <w:rPr>
          <w:rFonts w:ascii="Times New Roman" w:hAnsi="Times New Roman" w:cs="Times New Roman"/>
          <w:sz w:val="20"/>
          <w:szCs w:val="20"/>
        </w:rPr>
        <w:t xml:space="preserve">Szafa </w:t>
      </w:r>
      <w:proofErr w:type="spellStart"/>
      <w:r w:rsidRPr="00C71731">
        <w:rPr>
          <w:rFonts w:ascii="Times New Roman" w:hAnsi="Times New Roman" w:cs="Times New Roman"/>
          <w:sz w:val="20"/>
          <w:szCs w:val="20"/>
        </w:rPr>
        <w:t>racu</w:t>
      </w:r>
      <w:proofErr w:type="spellEnd"/>
    </w:p>
    <w:p w:rsidR="00C71731" w:rsidRDefault="008A3565" w:rsidP="00C71731">
      <w:pPr>
        <w:pStyle w:val="Akapitzlist"/>
        <w:numPr>
          <w:ilvl w:val="0"/>
          <w:numId w:val="5"/>
        </w:numPr>
        <w:ind w:left="360" w:firstLine="774"/>
        <w:rPr>
          <w:rFonts w:ascii="Times New Roman" w:hAnsi="Times New Roman" w:cs="Times New Roman"/>
          <w:sz w:val="20"/>
          <w:szCs w:val="20"/>
        </w:rPr>
      </w:pPr>
      <w:r w:rsidRPr="00C71731">
        <w:rPr>
          <w:rFonts w:ascii="Times New Roman" w:hAnsi="Times New Roman" w:cs="Times New Roman"/>
          <w:sz w:val="20"/>
          <w:szCs w:val="20"/>
        </w:rPr>
        <w:t>Klawiatura + mysz</w:t>
      </w:r>
    </w:p>
    <w:p w:rsidR="008A3565" w:rsidRDefault="00292D71" w:rsidP="00C71731">
      <w:pPr>
        <w:pStyle w:val="Akapitzlist"/>
        <w:numPr>
          <w:ilvl w:val="0"/>
          <w:numId w:val="5"/>
        </w:numPr>
        <w:ind w:left="360" w:firstLine="774"/>
        <w:rPr>
          <w:rFonts w:ascii="Times New Roman" w:hAnsi="Times New Roman" w:cs="Times New Roman"/>
          <w:sz w:val="20"/>
          <w:szCs w:val="20"/>
        </w:rPr>
      </w:pPr>
      <w:r>
        <w:rPr>
          <w:rFonts w:ascii="Times New Roman" w:hAnsi="Times New Roman" w:cs="Times New Roman"/>
          <w:sz w:val="20"/>
          <w:szCs w:val="20"/>
        </w:rPr>
        <w:t xml:space="preserve">Monitor </w:t>
      </w:r>
      <w:r w:rsidR="008A3565" w:rsidRPr="00C71731">
        <w:rPr>
          <w:rFonts w:ascii="Times New Roman" w:hAnsi="Times New Roman" w:cs="Times New Roman"/>
          <w:sz w:val="20"/>
          <w:szCs w:val="20"/>
        </w:rPr>
        <w:t xml:space="preserve"> 32 cale,</w:t>
      </w:r>
    </w:p>
    <w:p w:rsidR="00292D71" w:rsidRDefault="00292D71" w:rsidP="00C71731">
      <w:pPr>
        <w:pStyle w:val="Akapitzlist"/>
        <w:numPr>
          <w:ilvl w:val="0"/>
          <w:numId w:val="5"/>
        </w:numPr>
        <w:ind w:left="360" w:firstLine="774"/>
        <w:rPr>
          <w:rFonts w:ascii="Times New Roman" w:hAnsi="Times New Roman" w:cs="Times New Roman"/>
          <w:sz w:val="20"/>
          <w:szCs w:val="20"/>
        </w:rPr>
      </w:pPr>
      <w:r>
        <w:rPr>
          <w:rFonts w:ascii="Times New Roman" w:hAnsi="Times New Roman" w:cs="Times New Roman"/>
          <w:sz w:val="20"/>
          <w:szCs w:val="20"/>
        </w:rPr>
        <w:t>Adapter - 3szt.</w:t>
      </w:r>
    </w:p>
    <w:p w:rsidR="00292D71" w:rsidRPr="00C71731" w:rsidRDefault="00292D71" w:rsidP="00C71731">
      <w:pPr>
        <w:pStyle w:val="Akapitzlist"/>
        <w:numPr>
          <w:ilvl w:val="0"/>
          <w:numId w:val="5"/>
        </w:numPr>
        <w:ind w:left="360" w:firstLine="774"/>
        <w:rPr>
          <w:rFonts w:ascii="Times New Roman" w:hAnsi="Times New Roman" w:cs="Times New Roman"/>
          <w:sz w:val="20"/>
          <w:szCs w:val="20"/>
        </w:rPr>
      </w:pPr>
      <w:proofErr w:type="spellStart"/>
      <w:r>
        <w:rPr>
          <w:rFonts w:ascii="Times New Roman" w:hAnsi="Times New Roman" w:cs="Times New Roman"/>
          <w:sz w:val="20"/>
          <w:szCs w:val="20"/>
        </w:rPr>
        <w:t>Switch</w:t>
      </w:r>
      <w:proofErr w:type="spellEnd"/>
      <w:r>
        <w:rPr>
          <w:rFonts w:ascii="Times New Roman" w:hAnsi="Times New Roman" w:cs="Times New Roman"/>
          <w:sz w:val="20"/>
          <w:szCs w:val="20"/>
        </w:rPr>
        <w:t xml:space="preserve"> – 1szt.</w:t>
      </w:r>
    </w:p>
    <w:p w:rsidR="007A760E" w:rsidRPr="008A3565" w:rsidRDefault="004B6757" w:rsidP="008A3565">
      <w:pPr>
        <w:ind w:left="1080"/>
        <w:rPr>
          <w:rFonts w:ascii="Times New Roman" w:hAnsi="Times New Roman" w:cs="Times New Roman"/>
          <w:sz w:val="20"/>
          <w:szCs w:val="20"/>
        </w:rPr>
      </w:pPr>
      <w:r w:rsidRPr="008A3565">
        <w:rPr>
          <w:rFonts w:ascii="Times New Roman" w:hAnsi="Times New Roman" w:cs="Times New Roman"/>
          <w:sz w:val="20"/>
          <w:szCs w:val="20"/>
        </w:rPr>
        <w:t>Monitoring powinien obejmować wejścia oraz wnętrze pomieszczenia . Sprzęt obejmuje system rejestracj</w:t>
      </w:r>
      <w:r w:rsidR="00B06FB7">
        <w:rPr>
          <w:rFonts w:ascii="Times New Roman" w:hAnsi="Times New Roman" w:cs="Times New Roman"/>
          <w:sz w:val="20"/>
          <w:szCs w:val="20"/>
        </w:rPr>
        <w:t>i</w:t>
      </w:r>
      <w:r w:rsidRPr="008A3565">
        <w:rPr>
          <w:rFonts w:ascii="Times New Roman" w:hAnsi="Times New Roman" w:cs="Times New Roman"/>
          <w:sz w:val="20"/>
          <w:szCs w:val="20"/>
        </w:rPr>
        <w:t xml:space="preserve"> obraz</w:t>
      </w:r>
      <w:r w:rsidR="007A760E" w:rsidRPr="008A3565">
        <w:rPr>
          <w:rFonts w:ascii="Times New Roman" w:hAnsi="Times New Roman" w:cs="Times New Roman"/>
          <w:sz w:val="20"/>
          <w:szCs w:val="20"/>
        </w:rPr>
        <w:t>u w trybie dziennym i nocnym.</w:t>
      </w:r>
    </w:p>
    <w:p w:rsidR="00292D71" w:rsidRDefault="004B6757" w:rsidP="00C71731">
      <w:pPr>
        <w:pStyle w:val="Akapitzlist"/>
        <w:numPr>
          <w:ilvl w:val="0"/>
          <w:numId w:val="4"/>
        </w:numPr>
        <w:rPr>
          <w:rFonts w:ascii="Times New Roman" w:hAnsi="Times New Roman" w:cs="Times New Roman"/>
          <w:sz w:val="20"/>
          <w:szCs w:val="20"/>
        </w:rPr>
      </w:pPr>
      <w:r w:rsidRPr="00C71731">
        <w:rPr>
          <w:rFonts w:ascii="Times New Roman" w:hAnsi="Times New Roman" w:cs="Times New Roman"/>
          <w:sz w:val="20"/>
          <w:szCs w:val="20"/>
        </w:rPr>
        <w:t>Okablowanie i osprzęt mo</w:t>
      </w:r>
      <w:r w:rsidR="00292D71">
        <w:rPr>
          <w:rFonts w:ascii="Times New Roman" w:hAnsi="Times New Roman" w:cs="Times New Roman"/>
          <w:sz w:val="20"/>
          <w:szCs w:val="20"/>
        </w:rPr>
        <w:t>ntażowy:</w:t>
      </w:r>
    </w:p>
    <w:p w:rsidR="00292D71" w:rsidRDefault="00292D71" w:rsidP="00292D71">
      <w:pPr>
        <w:pStyle w:val="Akapitzlist"/>
        <w:numPr>
          <w:ilvl w:val="1"/>
          <w:numId w:val="4"/>
        </w:numPr>
        <w:tabs>
          <w:tab w:val="left" w:pos="993"/>
        </w:tabs>
        <w:ind w:left="1134" w:hanging="76"/>
        <w:rPr>
          <w:rFonts w:ascii="Times New Roman" w:hAnsi="Times New Roman" w:cs="Times New Roman"/>
          <w:sz w:val="20"/>
          <w:szCs w:val="20"/>
        </w:rPr>
      </w:pPr>
      <w:r w:rsidRPr="00292D71">
        <w:rPr>
          <w:rFonts w:ascii="Times New Roman" w:hAnsi="Times New Roman" w:cs="Times New Roman"/>
          <w:sz w:val="20"/>
          <w:szCs w:val="20"/>
        </w:rPr>
        <w:t xml:space="preserve"> Przewód UTP kat.5e ,</w:t>
      </w:r>
    </w:p>
    <w:p w:rsidR="00292D71" w:rsidRDefault="00292D71" w:rsidP="00292D71">
      <w:pPr>
        <w:pStyle w:val="Akapitzlist"/>
        <w:numPr>
          <w:ilvl w:val="1"/>
          <w:numId w:val="4"/>
        </w:numPr>
        <w:tabs>
          <w:tab w:val="left" w:pos="993"/>
        </w:tabs>
        <w:ind w:left="1134" w:hanging="76"/>
        <w:rPr>
          <w:rFonts w:ascii="Times New Roman" w:hAnsi="Times New Roman" w:cs="Times New Roman"/>
          <w:sz w:val="20"/>
          <w:szCs w:val="20"/>
        </w:rPr>
      </w:pPr>
      <w:r>
        <w:rPr>
          <w:rFonts w:ascii="Times New Roman" w:hAnsi="Times New Roman" w:cs="Times New Roman"/>
          <w:sz w:val="20"/>
          <w:szCs w:val="20"/>
        </w:rPr>
        <w:t>Uchwyt ścienny 1szt.,</w:t>
      </w:r>
    </w:p>
    <w:p w:rsidR="00292D71" w:rsidRDefault="00292D71" w:rsidP="00292D71">
      <w:pPr>
        <w:pStyle w:val="Akapitzlist"/>
        <w:numPr>
          <w:ilvl w:val="1"/>
          <w:numId w:val="4"/>
        </w:numPr>
        <w:tabs>
          <w:tab w:val="left" w:pos="993"/>
        </w:tabs>
        <w:ind w:left="1134" w:hanging="76"/>
        <w:rPr>
          <w:rFonts w:ascii="Times New Roman" w:hAnsi="Times New Roman" w:cs="Times New Roman"/>
          <w:sz w:val="20"/>
          <w:szCs w:val="20"/>
        </w:rPr>
      </w:pPr>
      <w:r>
        <w:rPr>
          <w:rFonts w:ascii="Times New Roman" w:hAnsi="Times New Roman" w:cs="Times New Roman"/>
          <w:sz w:val="20"/>
          <w:szCs w:val="20"/>
        </w:rPr>
        <w:t>Listwa instalacyjna;</w:t>
      </w:r>
    </w:p>
    <w:p w:rsidR="00292D71" w:rsidRDefault="00292D71" w:rsidP="00292D71">
      <w:pPr>
        <w:pStyle w:val="Akapitzlist"/>
        <w:tabs>
          <w:tab w:val="left" w:pos="993"/>
        </w:tabs>
        <w:ind w:left="1134"/>
        <w:rPr>
          <w:rFonts w:ascii="Times New Roman" w:hAnsi="Times New Roman" w:cs="Times New Roman"/>
          <w:sz w:val="20"/>
          <w:szCs w:val="20"/>
        </w:rPr>
      </w:pPr>
    </w:p>
    <w:p w:rsidR="00292D71" w:rsidRDefault="001629B2" w:rsidP="00292D71">
      <w:pPr>
        <w:pStyle w:val="Akapitzlist"/>
        <w:numPr>
          <w:ilvl w:val="0"/>
          <w:numId w:val="4"/>
        </w:numPr>
        <w:tabs>
          <w:tab w:val="left" w:pos="993"/>
        </w:tabs>
        <w:rPr>
          <w:rFonts w:ascii="Times New Roman" w:hAnsi="Times New Roman" w:cs="Times New Roman"/>
          <w:sz w:val="20"/>
          <w:szCs w:val="20"/>
        </w:rPr>
      </w:pPr>
      <w:r>
        <w:rPr>
          <w:rFonts w:ascii="Times New Roman" w:hAnsi="Times New Roman" w:cs="Times New Roman"/>
          <w:sz w:val="20"/>
          <w:szCs w:val="20"/>
        </w:rPr>
        <w:t>Sprawdzenie i poprawa elementów systemu SSWIN.</w:t>
      </w:r>
    </w:p>
    <w:sectPr w:rsidR="00292D71" w:rsidSect="00195B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E33BC"/>
    <w:multiLevelType w:val="hybridMultilevel"/>
    <w:tmpl w:val="E500CE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3BEF7D02"/>
    <w:multiLevelType w:val="hybridMultilevel"/>
    <w:tmpl w:val="16BA4214"/>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
    <w:nsid w:val="59D87FD3"/>
    <w:multiLevelType w:val="hybridMultilevel"/>
    <w:tmpl w:val="1DFCD6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nsid w:val="5ED0171C"/>
    <w:multiLevelType w:val="hybridMultilevel"/>
    <w:tmpl w:val="AC3C1E2C"/>
    <w:lvl w:ilvl="0" w:tplc="0415000F">
      <w:start w:val="1"/>
      <w:numFmt w:val="decimal"/>
      <w:lvlText w:val="%1."/>
      <w:lvlJc w:val="left"/>
      <w:pPr>
        <w:ind w:left="1080" w:hanging="360"/>
      </w:pPr>
    </w:lvl>
    <w:lvl w:ilvl="1" w:tplc="04150001">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767549B7"/>
    <w:multiLevelType w:val="hybridMultilevel"/>
    <w:tmpl w:val="83F6EF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4B6757"/>
    <w:rsid w:val="001629B2"/>
    <w:rsid w:val="00195B8E"/>
    <w:rsid w:val="00246CE7"/>
    <w:rsid w:val="00292D71"/>
    <w:rsid w:val="00470755"/>
    <w:rsid w:val="004A345B"/>
    <w:rsid w:val="004B6757"/>
    <w:rsid w:val="005D2467"/>
    <w:rsid w:val="0060362B"/>
    <w:rsid w:val="00771091"/>
    <w:rsid w:val="007A760E"/>
    <w:rsid w:val="008A3565"/>
    <w:rsid w:val="00B06FB7"/>
    <w:rsid w:val="00C57FD2"/>
    <w:rsid w:val="00C71731"/>
    <w:rsid w:val="00E11B36"/>
    <w:rsid w:val="00FD7AC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5B8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B6757"/>
    <w:pPr>
      <w:ind w:left="720"/>
      <w:contextualSpacing/>
    </w:pPr>
  </w:style>
  <w:style w:type="paragraph" w:styleId="NormalnyWeb">
    <w:name w:val="Normal (Web)"/>
    <w:basedOn w:val="Normalny"/>
    <w:uiPriority w:val="99"/>
    <w:rsid w:val="00292D71"/>
    <w:pPr>
      <w:spacing w:before="100" w:beforeAutospacing="1" w:after="119"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253</Words>
  <Characters>1518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Spirodek</dc:creator>
  <cp:lastModifiedBy>Marcin Spirodek</cp:lastModifiedBy>
  <cp:revision>4</cp:revision>
  <cp:lastPrinted>2026-04-03T06:55:00Z</cp:lastPrinted>
  <dcterms:created xsi:type="dcterms:W3CDTF">2026-04-02T06:54:00Z</dcterms:created>
  <dcterms:modified xsi:type="dcterms:W3CDTF">2026-04-07T07:12:00Z</dcterms:modified>
</cp:coreProperties>
</file>