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91B1A0" w14:textId="7C37B89A" w:rsidR="008C293E" w:rsidRPr="001912EF" w:rsidRDefault="00AF32DE" w:rsidP="00AF32DE">
      <w:pPr>
        <w:jc w:val="right"/>
        <w:rPr>
          <w:rFonts w:ascii="Arial" w:eastAsia="Century Gothic" w:hAnsi="Arial" w:cs="Arial"/>
          <w:b/>
          <w:bCs/>
          <w:sz w:val="20"/>
          <w:szCs w:val="20"/>
        </w:rPr>
      </w:pPr>
      <w:r w:rsidRPr="001912EF">
        <w:rPr>
          <w:rFonts w:ascii="Arial" w:eastAsia="Century Gothic" w:hAnsi="Arial" w:cs="Arial"/>
          <w:b/>
          <w:bCs/>
          <w:sz w:val="20"/>
          <w:szCs w:val="20"/>
        </w:rPr>
        <w:t xml:space="preserve">Załącznik nr 2 do Szacowania </w:t>
      </w:r>
    </w:p>
    <w:p w14:paraId="16582790" w14:textId="46486934" w:rsidR="008C293E" w:rsidRPr="001912EF" w:rsidRDefault="008C293E" w:rsidP="00717142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1912EF">
        <w:rPr>
          <w:rFonts w:ascii="Arial" w:hAnsi="Arial" w:cs="Arial"/>
          <w:b/>
          <w:bCs/>
          <w:sz w:val="20"/>
          <w:szCs w:val="20"/>
        </w:rPr>
        <w:t>Kryteria odbioru rozwiązania</w:t>
      </w:r>
      <w:r w:rsidR="00A423B3" w:rsidRPr="001912EF">
        <w:rPr>
          <w:rFonts w:ascii="Arial" w:hAnsi="Arial" w:cs="Arial"/>
          <w:b/>
          <w:bCs/>
          <w:sz w:val="20"/>
          <w:szCs w:val="20"/>
        </w:rPr>
        <w:t xml:space="preserve"> dla „</w:t>
      </w:r>
      <w:r w:rsidR="00A423B3" w:rsidRPr="001912EF">
        <w:rPr>
          <w:rFonts w:ascii="Arial" w:eastAsia="Century Gothic" w:hAnsi="Arial" w:cs="Arial"/>
          <w:sz w:val="20"/>
          <w:szCs w:val="20"/>
        </w:rPr>
        <w:t>Rozbudowa Infrastruktury - Linia CI/CD”</w:t>
      </w:r>
    </w:p>
    <w:p w14:paraId="4EF26A05" w14:textId="77777777" w:rsidR="008C293E" w:rsidRPr="001912EF" w:rsidRDefault="008C293E" w:rsidP="008C293E">
      <w:pPr>
        <w:rPr>
          <w:rFonts w:ascii="Arial" w:hAnsi="Arial" w:cs="Arial"/>
          <w:b/>
          <w:bCs/>
          <w:sz w:val="20"/>
          <w:szCs w:val="20"/>
        </w:rPr>
      </w:pPr>
      <w:r w:rsidRPr="001912EF">
        <w:rPr>
          <w:rFonts w:ascii="Arial" w:hAnsi="Arial" w:cs="Arial"/>
          <w:b/>
          <w:bCs/>
          <w:sz w:val="20"/>
          <w:szCs w:val="20"/>
        </w:rPr>
        <w:t>1. Odbiór infrastruktury sprzętowej</w:t>
      </w:r>
    </w:p>
    <w:p w14:paraId="44DA3030" w14:textId="77777777" w:rsidR="008C293E" w:rsidRPr="001912EF" w:rsidRDefault="008C293E" w:rsidP="008C293E">
      <w:pPr>
        <w:rPr>
          <w:rFonts w:ascii="Arial" w:hAnsi="Arial" w:cs="Arial"/>
          <w:sz w:val="20"/>
          <w:szCs w:val="20"/>
        </w:rPr>
      </w:pPr>
      <w:r w:rsidRPr="001912EF">
        <w:rPr>
          <w:rFonts w:ascii="Arial" w:hAnsi="Arial" w:cs="Arial"/>
          <w:sz w:val="20"/>
          <w:szCs w:val="20"/>
        </w:rPr>
        <w:t>Za spełnienie kryteriów odbioru warstwy sprzętowej uznaje się sytuację, w której:</w:t>
      </w:r>
    </w:p>
    <w:p w14:paraId="01776A46" w14:textId="77777777" w:rsidR="008C293E" w:rsidRPr="001912EF" w:rsidRDefault="008C293E" w:rsidP="008C293E">
      <w:pPr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1912EF">
        <w:rPr>
          <w:rFonts w:ascii="Arial" w:hAnsi="Arial" w:cs="Arial"/>
          <w:sz w:val="20"/>
          <w:szCs w:val="20"/>
        </w:rPr>
        <w:t>Wszystkie serwery zostały dostarczone, zamontowane w szafach RACK oraz podłączone do infrastruktury zasilania i sieci Zamawiającego.</w:t>
      </w:r>
    </w:p>
    <w:p w14:paraId="5D34A1D2" w14:textId="77777777" w:rsidR="008C293E" w:rsidRPr="001912EF" w:rsidRDefault="008C293E" w:rsidP="008C293E">
      <w:pPr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1912EF">
        <w:rPr>
          <w:rFonts w:ascii="Arial" w:hAnsi="Arial" w:cs="Arial"/>
          <w:sz w:val="20"/>
          <w:szCs w:val="20"/>
        </w:rPr>
        <w:t>Wszystkie elementy infrastruktury posiadają aktualne firmware zgodne z rekomendowaną przez producenta konfiguracją (baseline).</w:t>
      </w:r>
    </w:p>
    <w:p w14:paraId="4730DD71" w14:textId="77777777" w:rsidR="008C293E" w:rsidRPr="001912EF" w:rsidRDefault="008C293E" w:rsidP="008C293E">
      <w:pPr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1912EF">
        <w:rPr>
          <w:rFonts w:ascii="Arial" w:hAnsi="Arial" w:cs="Arial"/>
          <w:sz w:val="20"/>
          <w:szCs w:val="20"/>
        </w:rPr>
        <w:t>Zdalne zarządzanie serwerami (BMC/iDRAC/iLO lub równoważne) jest dostępne z sieci administracyjnej Zamawiającego.</w:t>
      </w:r>
    </w:p>
    <w:p w14:paraId="38AC096C" w14:textId="77777777" w:rsidR="008C293E" w:rsidRPr="001912EF" w:rsidRDefault="008C293E" w:rsidP="008C293E">
      <w:pPr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1912EF">
        <w:rPr>
          <w:rFonts w:ascii="Arial" w:hAnsi="Arial" w:cs="Arial"/>
          <w:sz w:val="20"/>
          <w:szCs w:val="20"/>
        </w:rPr>
        <w:t>Każdy serwer jest widoczny w systemie zarządzania sprzętem producenta.</w:t>
      </w:r>
    </w:p>
    <w:p w14:paraId="3AF2581D" w14:textId="77777777" w:rsidR="008C293E" w:rsidRPr="001912EF" w:rsidRDefault="008C293E" w:rsidP="008C293E">
      <w:pPr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1912EF">
        <w:rPr>
          <w:rFonts w:ascii="Arial" w:hAnsi="Arial" w:cs="Arial"/>
          <w:sz w:val="20"/>
          <w:szCs w:val="20"/>
        </w:rPr>
        <w:t>Przeprowadzono test redundancji zasilania (odłączenie jednego zasilacza nie powoduje wyłączenia serwera).</w:t>
      </w:r>
    </w:p>
    <w:p w14:paraId="7E2B2F3E" w14:textId="77777777" w:rsidR="008C293E" w:rsidRPr="001912EF" w:rsidRDefault="008C293E" w:rsidP="008C293E">
      <w:pPr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1912EF">
        <w:rPr>
          <w:rFonts w:ascii="Arial" w:hAnsi="Arial" w:cs="Arial"/>
          <w:sz w:val="20"/>
          <w:szCs w:val="20"/>
        </w:rPr>
        <w:t>Wszystkie interfejsy sieciowe działają z prędkością nominalną (1Gb/25Gb).</w:t>
      </w:r>
    </w:p>
    <w:p w14:paraId="41829538" w14:textId="3F782026" w:rsidR="008C293E" w:rsidRPr="001912EF" w:rsidRDefault="008C293E" w:rsidP="008C293E">
      <w:pPr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1912EF">
        <w:rPr>
          <w:rFonts w:ascii="Arial" w:hAnsi="Arial" w:cs="Arial"/>
          <w:sz w:val="20"/>
          <w:szCs w:val="20"/>
        </w:rPr>
        <w:t>Zamawiający otrzymał dokumentację powykonawczą zawierającą listę numerów seryjnych i konfigurację sprzętu.</w:t>
      </w:r>
    </w:p>
    <w:p w14:paraId="49A34C86" w14:textId="77777777" w:rsidR="008C293E" w:rsidRPr="001912EF" w:rsidRDefault="008C293E" w:rsidP="008C293E">
      <w:pPr>
        <w:rPr>
          <w:rFonts w:ascii="Arial" w:hAnsi="Arial" w:cs="Arial"/>
          <w:b/>
          <w:bCs/>
          <w:sz w:val="20"/>
          <w:szCs w:val="20"/>
        </w:rPr>
      </w:pPr>
      <w:r w:rsidRPr="001912EF">
        <w:rPr>
          <w:rFonts w:ascii="Arial" w:hAnsi="Arial" w:cs="Arial"/>
          <w:b/>
          <w:bCs/>
          <w:sz w:val="20"/>
          <w:szCs w:val="20"/>
        </w:rPr>
        <w:t>2. Odbiór warstwy wirtualizacji</w:t>
      </w:r>
    </w:p>
    <w:p w14:paraId="18BB9FF3" w14:textId="77777777" w:rsidR="008C293E" w:rsidRPr="001912EF" w:rsidRDefault="008C293E" w:rsidP="008C293E">
      <w:pPr>
        <w:rPr>
          <w:rFonts w:ascii="Arial" w:hAnsi="Arial" w:cs="Arial"/>
          <w:sz w:val="20"/>
          <w:szCs w:val="20"/>
        </w:rPr>
      </w:pPr>
      <w:r w:rsidRPr="001912EF">
        <w:rPr>
          <w:rFonts w:ascii="Arial" w:hAnsi="Arial" w:cs="Arial"/>
          <w:sz w:val="20"/>
          <w:szCs w:val="20"/>
        </w:rPr>
        <w:t>Warstwa wirtualizacji uznana jest za poprawnie wdrożoną gdy:</w:t>
      </w:r>
    </w:p>
    <w:p w14:paraId="70F3FD00" w14:textId="77777777" w:rsidR="008C293E" w:rsidRPr="001912EF" w:rsidRDefault="008C293E" w:rsidP="008C293E">
      <w:pPr>
        <w:numPr>
          <w:ilvl w:val="0"/>
          <w:numId w:val="2"/>
        </w:numPr>
        <w:rPr>
          <w:rFonts w:ascii="Arial" w:hAnsi="Arial" w:cs="Arial"/>
          <w:sz w:val="20"/>
          <w:szCs w:val="20"/>
        </w:rPr>
      </w:pPr>
      <w:r w:rsidRPr="001912EF">
        <w:rPr>
          <w:rFonts w:ascii="Arial" w:hAnsi="Arial" w:cs="Arial"/>
          <w:sz w:val="20"/>
          <w:szCs w:val="20"/>
        </w:rPr>
        <w:t>Wszystkie hosty ESXi zostały zainstalowane i skonfigurowane zgodnie z architekturą VMware Cloud Foundation.</w:t>
      </w:r>
    </w:p>
    <w:p w14:paraId="5B3DCD07" w14:textId="77777777" w:rsidR="008C293E" w:rsidRPr="001912EF" w:rsidRDefault="008C293E" w:rsidP="008C293E">
      <w:pPr>
        <w:numPr>
          <w:ilvl w:val="0"/>
          <w:numId w:val="2"/>
        </w:numPr>
        <w:rPr>
          <w:rFonts w:ascii="Arial" w:hAnsi="Arial" w:cs="Arial"/>
          <w:sz w:val="20"/>
          <w:szCs w:val="20"/>
        </w:rPr>
      </w:pPr>
      <w:r w:rsidRPr="001912EF">
        <w:rPr>
          <w:rFonts w:ascii="Arial" w:hAnsi="Arial" w:cs="Arial"/>
          <w:sz w:val="20"/>
          <w:szCs w:val="20"/>
        </w:rPr>
        <w:t>Hosty są widoczne w istniejącej domenie zarządzającej VMware Cloud Foundation.</w:t>
      </w:r>
    </w:p>
    <w:p w14:paraId="6CEF7243" w14:textId="77777777" w:rsidR="008C293E" w:rsidRPr="001912EF" w:rsidRDefault="008C293E" w:rsidP="008C293E">
      <w:pPr>
        <w:numPr>
          <w:ilvl w:val="0"/>
          <w:numId w:val="2"/>
        </w:numPr>
        <w:rPr>
          <w:rFonts w:ascii="Arial" w:hAnsi="Arial" w:cs="Arial"/>
          <w:sz w:val="20"/>
          <w:szCs w:val="20"/>
        </w:rPr>
      </w:pPr>
      <w:r w:rsidRPr="001912EF">
        <w:rPr>
          <w:rFonts w:ascii="Arial" w:hAnsi="Arial" w:cs="Arial"/>
          <w:sz w:val="20"/>
          <w:szCs w:val="20"/>
        </w:rPr>
        <w:t>Nowy klaster jest zarządzany z poziomu istniejącego vCenter Zamawiającego.</w:t>
      </w:r>
    </w:p>
    <w:p w14:paraId="38FF63AF" w14:textId="77777777" w:rsidR="008C293E" w:rsidRPr="001912EF" w:rsidRDefault="008C293E" w:rsidP="008C293E">
      <w:pPr>
        <w:numPr>
          <w:ilvl w:val="0"/>
          <w:numId w:val="2"/>
        </w:numPr>
        <w:rPr>
          <w:rFonts w:ascii="Arial" w:hAnsi="Arial" w:cs="Arial"/>
          <w:sz w:val="20"/>
          <w:szCs w:val="20"/>
        </w:rPr>
      </w:pPr>
      <w:r w:rsidRPr="001912EF">
        <w:rPr>
          <w:rFonts w:ascii="Arial" w:hAnsi="Arial" w:cs="Arial"/>
          <w:sz w:val="20"/>
          <w:szCs w:val="20"/>
        </w:rPr>
        <w:t>Hosty są zgodne z VMware Compatibility Guide (HCL).</w:t>
      </w:r>
    </w:p>
    <w:p w14:paraId="38A0076B" w14:textId="77777777" w:rsidR="008C293E" w:rsidRPr="001912EF" w:rsidRDefault="008C293E" w:rsidP="008C293E">
      <w:pPr>
        <w:numPr>
          <w:ilvl w:val="0"/>
          <w:numId w:val="2"/>
        </w:numPr>
        <w:rPr>
          <w:rFonts w:ascii="Arial" w:hAnsi="Arial" w:cs="Arial"/>
          <w:sz w:val="20"/>
          <w:szCs w:val="20"/>
        </w:rPr>
      </w:pPr>
      <w:r w:rsidRPr="001912EF">
        <w:rPr>
          <w:rFonts w:ascii="Arial" w:hAnsi="Arial" w:cs="Arial"/>
          <w:sz w:val="20"/>
          <w:szCs w:val="20"/>
        </w:rPr>
        <w:t>Mechanizmy HA oraz DRS działają poprawnie.</w:t>
      </w:r>
    </w:p>
    <w:p w14:paraId="6E495B5A" w14:textId="77777777" w:rsidR="008C293E" w:rsidRPr="001912EF" w:rsidRDefault="008C293E" w:rsidP="008C293E">
      <w:pPr>
        <w:numPr>
          <w:ilvl w:val="0"/>
          <w:numId w:val="2"/>
        </w:numPr>
        <w:rPr>
          <w:rFonts w:ascii="Arial" w:hAnsi="Arial" w:cs="Arial"/>
          <w:sz w:val="20"/>
          <w:szCs w:val="20"/>
        </w:rPr>
      </w:pPr>
      <w:r w:rsidRPr="001912EF">
        <w:rPr>
          <w:rFonts w:ascii="Arial" w:hAnsi="Arial" w:cs="Arial"/>
          <w:sz w:val="20"/>
          <w:szCs w:val="20"/>
        </w:rPr>
        <w:t>Wdrożono i zweryfikowano konfigurację sieci:</w:t>
      </w:r>
    </w:p>
    <w:p w14:paraId="0F42707A" w14:textId="77777777" w:rsidR="008C293E" w:rsidRPr="001912EF" w:rsidRDefault="008C293E" w:rsidP="008C293E">
      <w:pPr>
        <w:numPr>
          <w:ilvl w:val="1"/>
          <w:numId w:val="2"/>
        </w:numPr>
        <w:rPr>
          <w:rFonts w:ascii="Arial" w:hAnsi="Arial" w:cs="Arial"/>
          <w:sz w:val="20"/>
          <w:szCs w:val="20"/>
        </w:rPr>
      </w:pPr>
      <w:r w:rsidRPr="001912EF">
        <w:rPr>
          <w:rFonts w:ascii="Arial" w:hAnsi="Arial" w:cs="Arial"/>
          <w:sz w:val="20"/>
          <w:szCs w:val="20"/>
        </w:rPr>
        <w:t>vMotion</w:t>
      </w:r>
    </w:p>
    <w:p w14:paraId="02E1B7A4" w14:textId="77777777" w:rsidR="008C293E" w:rsidRPr="001912EF" w:rsidRDefault="008C293E" w:rsidP="008C293E">
      <w:pPr>
        <w:numPr>
          <w:ilvl w:val="1"/>
          <w:numId w:val="2"/>
        </w:numPr>
        <w:rPr>
          <w:rFonts w:ascii="Arial" w:hAnsi="Arial" w:cs="Arial"/>
          <w:sz w:val="20"/>
          <w:szCs w:val="20"/>
        </w:rPr>
      </w:pPr>
      <w:r w:rsidRPr="001912EF">
        <w:rPr>
          <w:rFonts w:ascii="Arial" w:hAnsi="Arial" w:cs="Arial"/>
          <w:sz w:val="20"/>
          <w:szCs w:val="20"/>
        </w:rPr>
        <w:t>vSAN</w:t>
      </w:r>
    </w:p>
    <w:p w14:paraId="284EAE59" w14:textId="77777777" w:rsidR="008C293E" w:rsidRPr="001912EF" w:rsidRDefault="008C293E" w:rsidP="008C293E">
      <w:pPr>
        <w:numPr>
          <w:ilvl w:val="1"/>
          <w:numId w:val="2"/>
        </w:numPr>
        <w:rPr>
          <w:rFonts w:ascii="Arial" w:hAnsi="Arial" w:cs="Arial"/>
          <w:sz w:val="20"/>
          <w:szCs w:val="20"/>
        </w:rPr>
      </w:pPr>
      <w:r w:rsidRPr="001912EF">
        <w:rPr>
          <w:rFonts w:ascii="Arial" w:hAnsi="Arial" w:cs="Arial"/>
          <w:sz w:val="20"/>
          <w:szCs w:val="20"/>
        </w:rPr>
        <w:t>Management</w:t>
      </w:r>
    </w:p>
    <w:p w14:paraId="6D8366C5" w14:textId="77777777" w:rsidR="008C293E" w:rsidRPr="001912EF" w:rsidRDefault="008C293E" w:rsidP="008C293E">
      <w:pPr>
        <w:numPr>
          <w:ilvl w:val="1"/>
          <w:numId w:val="2"/>
        </w:numPr>
        <w:rPr>
          <w:rFonts w:ascii="Arial" w:hAnsi="Arial" w:cs="Arial"/>
          <w:sz w:val="20"/>
          <w:szCs w:val="20"/>
        </w:rPr>
      </w:pPr>
      <w:r w:rsidRPr="001912EF">
        <w:rPr>
          <w:rFonts w:ascii="Arial" w:hAnsi="Arial" w:cs="Arial"/>
          <w:sz w:val="20"/>
          <w:szCs w:val="20"/>
        </w:rPr>
        <w:t>VM Network</w:t>
      </w:r>
    </w:p>
    <w:p w14:paraId="60E808EB" w14:textId="38D2318A" w:rsidR="008C293E" w:rsidRPr="001912EF" w:rsidRDefault="008C293E" w:rsidP="008C293E">
      <w:pPr>
        <w:numPr>
          <w:ilvl w:val="0"/>
          <w:numId w:val="2"/>
        </w:numPr>
        <w:rPr>
          <w:rFonts w:ascii="Arial" w:hAnsi="Arial" w:cs="Arial"/>
          <w:sz w:val="20"/>
          <w:szCs w:val="20"/>
        </w:rPr>
      </w:pPr>
      <w:r w:rsidRPr="001912EF">
        <w:rPr>
          <w:rFonts w:ascii="Arial" w:hAnsi="Arial" w:cs="Arial"/>
          <w:sz w:val="20"/>
          <w:szCs w:val="20"/>
        </w:rPr>
        <w:t>Wszystkie hosty raportują poprawny stan zdrowia (green status) w vCenter.</w:t>
      </w:r>
    </w:p>
    <w:p w14:paraId="40AAF863" w14:textId="77777777" w:rsidR="008C293E" w:rsidRPr="001912EF" w:rsidRDefault="008C293E" w:rsidP="008C293E">
      <w:pPr>
        <w:rPr>
          <w:rFonts w:ascii="Arial" w:hAnsi="Arial" w:cs="Arial"/>
          <w:b/>
          <w:bCs/>
          <w:sz w:val="20"/>
          <w:szCs w:val="20"/>
        </w:rPr>
      </w:pPr>
      <w:r w:rsidRPr="001912EF">
        <w:rPr>
          <w:rFonts w:ascii="Arial" w:hAnsi="Arial" w:cs="Arial"/>
          <w:b/>
          <w:bCs/>
          <w:sz w:val="20"/>
          <w:szCs w:val="20"/>
        </w:rPr>
        <w:t>3. Odbiór warstwy storage (vSAN ESA)</w:t>
      </w:r>
    </w:p>
    <w:p w14:paraId="7A07BFB5" w14:textId="77777777" w:rsidR="008C293E" w:rsidRPr="001912EF" w:rsidRDefault="008C293E" w:rsidP="008C293E">
      <w:pPr>
        <w:rPr>
          <w:rFonts w:ascii="Arial" w:hAnsi="Arial" w:cs="Arial"/>
          <w:sz w:val="20"/>
          <w:szCs w:val="20"/>
        </w:rPr>
      </w:pPr>
      <w:r w:rsidRPr="001912EF">
        <w:rPr>
          <w:rFonts w:ascii="Arial" w:hAnsi="Arial" w:cs="Arial"/>
          <w:sz w:val="20"/>
          <w:szCs w:val="20"/>
        </w:rPr>
        <w:t>Warstwa storage uznana jest za poprawnie wdrożoną gdy:</w:t>
      </w:r>
    </w:p>
    <w:p w14:paraId="1652897A" w14:textId="77777777" w:rsidR="008C293E" w:rsidRPr="001912EF" w:rsidRDefault="008C293E" w:rsidP="008C293E">
      <w:pPr>
        <w:numPr>
          <w:ilvl w:val="0"/>
          <w:numId w:val="3"/>
        </w:numPr>
        <w:rPr>
          <w:rFonts w:ascii="Arial" w:hAnsi="Arial" w:cs="Arial"/>
          <w:sz w:val="20"/>
          <w:szCs w:val="20"/>
        </w:rPr>
      </w:pPr>
      <w:r w:rsidRPr="001912EF">
        <w:rPr>
          <w:rFonts w:ascii="Arial" w:hAnsi="Arial" w:cs="Arial"/>
          <w:sz w:val="20"/>
          <w:szCs w:val="20"/>
        </w:rPr>
        <w:t xml:space="preserve">Klaster vSAN został uruchomiony w architekturze </w:t>
      </w:r>
      <w:r w:rsidRPr="001912EF">
        <w:rPr>
          <w:rFonts w:ascii="Arial" w:hAnsi="Arial" w:cs="Arial"/>
          <w:b/>
          <w:bCs/>
          <w:sz w:val="20"/>
          <w:szCs w:val="20"/>
        </w:rPr>
        <w:t>vSAN Express Storage Architecture</w:t>
      </w:r>
      <w:r w:rsidRPr="001912EF">
        <w:rPr>
          <w:rFonts w:ascii="Arial" w:hAnsi="Arial" w:cs="Arial"/>
          <w:sz w:val="20"/>
          <w:szCs w:val="20"/>
        </w:rPr>
        <w:t>.</w:t>
      </w:r>
    </w:p>
    <w:p w14:paraId="7770D792" w14:textId="77777777" w:rsidR="008C293E" w:rsidRPr="001912EF" w:rsidRDefault="008C293E" w:rsidP="008C293E">
      <w:pPr>
        <w:numPr>
          <w:ilvl w:val="0"/>
          <w:numId w:val="3"/>
        </w:numPr>
        <w:rPr>
          <w:rFonts w:ascii="Arial" w:hAnsi="Arial" w:cs="Arial"/>
          <w:sz w:val="20"/>
          <w:szCs w:val="20"/>
        </w:rPr>
      </w:pPr>
      <w:r w:rsidRPr="001912EF">
        <w:rPr>
          <w:rFonts w:ascii="Arial" w:hAnsi="Arial" w:cs="Arial"/>
          <w:sz w:val="20"/>
          <w:szCs w:val="20"/>
        </w:rPr>
        <w:t>Wszystkie dyski capacity są widoczne i pracują w ramach klastra vSAN.</w:t>
      </w:r>
    </w:p>
    <w:p w14:paraId="3F0AFC77" w14:textId="77777777" w:rsidR="008C293E" w:rsidRPr="001912EF" w:rsidRDefault="008C293E" w:rsidP="008C293E">
      <w:pPr>
        <w:numPr>
          <w:ilvl w:val="0"/>
          <w:numId w:val="3"/>
        </w:numPr>
        <w:rPr>
          <w:rFonts w:ascii="Arial" w:hAnsi="Arial" w:cs="Arial"/>
          <w:sz w:val="20"/>
          <w:szCs w:val="20"/>
        </w:rPr>
      </w:pPr>
      <w:r w:rsidRPr="001912EF">
        <w:rPr>
          <w:rFonts w:ascii="Arial" w:hAnsi="Arial" w:cs="Arial"/>
          <w:sz w:val="20"/>
          <w:szCs w:val="20"/>
        </w:rPr>
        <w:t>Konfiguracja storage policy została utworzona zgodnie z wymaganiami Zamawiającego (np. RAID-5 lub RAID-6).</w:t>
      </w:r>
    </w:p>
    <w:p w14:paraId="238447F6" w14:textId="77777777" w:rsidR="008C293E" w:rsidRPr="001912EF" w:rsidRDefault="008C293E" w:rsidP="008C293E">
      <w:pPr>
        <w:numPr>
          <w:ilvl w:val="0"/>
          <w:numId w:val="3"/>
        </w:numPr>
        <w:rPr>
          <w:rFonts w:ascii="Arial" w:hAnsi="Arial" w:cs="Arial"/>
          <w:sz w:val="20"/>
          <w:szCs w:val="20"/>
        </w:rPr>
      </w:pPr>
      <w:r w:rsidRPr="001912EF">
        <w:rPr>
          <w:rFonts w:ascii="Arial" w:hAnsi="Arial" w:cs="Arial"/>
          <w:sz w:val="20"/>
          <w:szCs w:val="20"/>
        </w:rPr>
        <w:lastRenderedPageBreak/>
        <w:t>Przeprowadzono test:</w:t>
      </w:r>
    </w:p>
    <w:p w14:paraId="24C95CF8" w14:textId="77777777" w:rsidR="008C293E" w:rsidRPr="001912EF" w:rsidRDefault="008C293E" w:rsidP="008C293E">
      <w:pPr>
        <w:numPr>
          <w:ilvl w:val="1"/>
          <w:numId w:val="3"/>
        </w:numPr>
        <w:rPr>
          <w:rFonts w:ascii="Arial" w:hAnsi="Arial" w:cs="Arial"/>
          <w:sz w:val="20"/>
          <w:szCs w:val="20"/>
        </w:rPr>
      </w:pPr>
      <w:r w:rsidRPr="001912EF">
        <w:rPr>
          <w:rFonts w:ascii="Arial" w:hAnsi="Arial" w:cs="Arial"/>
          <w:sz w:val="20"/>
          <w:szCs w:val="20"/>
        </w:rPr>
        <w:t>awarii pojedynczego dysku</w:t>
      </w:r>
    </w:p>
    <w:p w14:paraId="5C005D33" w14:textId="77777777" w:rsidR="008C293E" w:rsidRPr="001912EF" w:rsidRDefault="008C293E" w:rsidP="008C293E">
      <w:pPr>
        <w:numPr>
          <w:ilvl w:val="1"/>
          <w:numId w:val="3"/>
        </w:numPr>
        <w:rPr>
          <w:rFonts w:ascii="Arial" w:hAnsi="Arial" w:cs="Arial"/>
          <w:sz w:val="20"/>
          <w:szCs w:val="20"/>
        </w:rPr>
      </w:pPr>
      <w:r w:rsidRPr="001912EF">
        <w:rPr>
          <w:rFonts w:ascii="Arial" w:hAnsi="Arial" w:cs="Arial"/>
          <w:sz w:val="20"/>
          <w:szCs w:val="20"/>
        </w:rPr>
        <w:t>awarii hosta</w:t>
      </w:r>
    </w:p>
    <w:p w14:paraId="150455D5" w14:textId="77777777" w:rsidR="008C293E" w:rsidRPr="001912EF" w:rsidRDefault="008C293E" w:rsidP="008C293E">
      <w:pPr>
        <w:rPr>
          <w:rFonts w:ascii="Arial" w:hAnsi="Arial" w:cs="Arial"/>
          <w:sz w:val="20"/>
          <w:szCs w:val="20"/>
        </w:rPr>
      </w:pPr>
      <w:r w:rsidRPr="001912EF">
        <w:rPr>
          <w:rFonts w:ascii="Arial" w:hAnsi="Arial" w:cs="Arial"/>
          <w:sz w:val="20"/>
          <w:szCs w:val="20"/>
        </w:rPr>
        <w:t>i potwierdzono brak utraty danych.</w:t>
      </w:r>
    </w:p>
    <w:p w14:paraId="3718D094" w14:textId="6D09B933" w:rsidR="008C293E" w:rsidRPr="001912EF" w:rsidRDefault="008C293E" w:rsidP="008C293E">
      <w:pPr>
        <w:numPr>
          <w:ilvl w:val="0"/>
          <w:numId w:val="4"/>
        </w:numPr>
        <w:rPr>
          <w:rFonts w:ascii="Arial" w:hAnsi="Arial" w:cs="Arial"/>
          <w:sz w:val="20"/>
          <w:szCs w:val="20"/>
        </w:rPr>
      </w:pPr>
      <w:r w:rsidRPr="001912EF">
        <w:rPr>
          <w:rFonts w:ascii="Arial" w:hAnsi="Arial" w:cs="Arial"/>
          <w:sz w:val="20"/>
          <w:szCs w:val="20"/>
        </w:rPr>
        <w:t>Dostępna pojemność klastra odpowiada wymaganiom minimalnym SOPZ.</w:t>
      </w:r>
    </w:p>
    <w:p w14:paraId="4E068792" w14:textId="77777777" w:rsidR="008C293E" w:rsidRPr="001912EF" w:rsidRDefault="008C293E" w:rsidP="008C293E">
      <w:pPr>
        <w:rPr>
          <w:rFonts w:ascii="Arial" w:hAnsi="Arial" w:cs="Arial"/>
          <w:b/>
          <w:bCs/>
          <w:sz w:val="20"/>
          <w:szCs w:val="20"/>
        </w:rPr>
      </w:pPr>
      <w:r w:rsidRPr="001912EF">
        <w:rPr>
          <w:rFonts w:ascii="Arial" w:hAnsi="Arial" w:cs="Arial"/>
          <w:b/>
          <w:bCs/>
          <w:sz w:val="20"/>
          <w:szCs w:val="20"/>
        </w:rPr>
        <w:t>4. Odbiór integracji z istniejącą infrastrukturą</w:t>
      </w:r>
    </w:p>
    <w:p w14:paraId="6B8BC2A7" w14:textId="77777777" w:rsidR="008C293E" w:rsidRPr="001912EF" w:rsidRDefault="008C293E" w:rsidP="008C293E">
      <w:pPr>
        <w:rPr>
          <w:rFonts w:ascii="Arial" w:hAnsi="Arial" w:cs="Arial"/>
          <w:sz w:val="20"/>
          <w:szCs w:val="20"/>
        </w:rPr>
      </w:pPr>
      <w:r w:rsidRPr="001912EF">
        <w:rPr>
          <w:rFonts w:ascii="Arial" w:hAnsi="Arial" w:cs="Arial"/>
          <w:sz w:val="20"/>
          <w:szCs w:val="20"/>
        </w:rPr>
        <w:t>Integracja zostaje uznana za poprawną gdy:</w:t>
      </w:r>
    </w:p>
    <w:p w14:paraId="6BB77FF8" w14:textId="77777777" w:rsidR="008C293E" w:rsidRPr="001912EF" w:rsidRDefault="008C293E" w:rsidP="008C293E">
      <w:pPr>
        <w:numPr>
          <w:ilvl w:val="0"/>
          <w:numId w:val="5"/>
        </w:numPr>
        <w:rPr>
          <w:rFonts w:ascii="Arial" w:hAnsi="Arial" w:cs="Arial"/>
          <w:sz w:val="20"/>
          <w:szCs w:val="20"/>
        </w:rPr>
      </w:pPr>
      <w:r w:rsidRPr="001912EF">
        <w:rPr>
          <w:rFonts w:ascii="Arial" w:hAnsi="Arial" w:cs="Arial"/>
          <w:sz w:val="20"/>
          <w:szCs w:val="20"/>
        </w:rPr>
        <w:t>Nowy klaster jest widoczny i zarządzalny z istniejącej domeny VMware Cloud Foundation.</w:t>
      </w:r>
    </w:p>
    <w:p w14:paraId="79B53E4F" w14:textId="77777777" w:rsidR="008C293E" w:rsidRPr="001912EF" w:rsidRDefault="008C293E" w:rsidP="008C293E">
      <w:pPr>
        <w:numPr>
          <w:ilvl w:val="0"/>
          <w:numId w:val="5"/>
        </w:numPr>
        <w:rPr>
          <w:rFonts w:ascii="Arial" w:hAnsi="Arial" w:cs="Arial"/>
          <w:sz w:val="20"/>
          <w:szCs w:val="20"/>
        </w:rPr>
      </w:pPr>
      <w:r w:rsidRPr="001912EF">
        <w:rPr>
          <w:rFonts w:ascii="Arial" w:hAnsi="Arial" w:cs="Arial"/>
          <w:sz w:val="20"/>
          <w:szCs w:val="20"/>
        </w:rPr>
        <w:t>Możliwe jest przenoszenie maszyn wirtualnych pomiędzy istniejącą infrastrukturą a nowym klastrem przy użyciu:</w:t>
      </w:r>
    </w:p>
    <w:p w14:paraId="39244839" w14:textId="77777777" w:rsidR="008C293E" w:rsidRPr="001912EF" w:rsidRDefault="008C293E" w:rsidP="008C293E">
      <w:pPr>
        <w:numPr>
          <w:ilvl w:val="1"/>
          <w:numId w:val="5"/>
        </w:numPr>
        <w:rPr>
          <w:rFonts w:ascii="Arial" w:hAnsi="Arial" w:cs="Arial"/>
          <w:sz w:val="20"/>
          <w:szCs w:val="20"/>
        </w:rPr>
      </w:pPr>
      <w:r w:rsidRPr="001912EF">
        <w:rPr>
          <w:rFonts w:ascii="Arial" w:hAnsi="Arial" w:cs="Arial"/>
          <w:sz w:val="20"/>
          <w:szCs w:val="20"/>
        </w:rPr>
        <w:t>vMotion</w:t>
      </w:r>
    </w:p>
    <w:p w14:paraId="3FF37F5C" w14:textId="77777777" w:rsidR="008C293E" w:rsidRPr="001912EF" w:rsidRDefault="008C293E" w:rsidP="008C293E">
      <w:pPr>
        <w:numPr>
          <w:ilvl w:val="1"/>
          <w:numId w:val="5"/>
        </w:numPr>
        <w:rPr>
          <w:rFonts w:ascii="Arial" w:hAnsi="Arial" w:cs="Arial"/>
          <w:sz w:val="20"/>
          <w:szCs w:val="20"/>
        </w:rPr>
      </w:pPr>
      <w:r w:rsidRPr="001912EF">
        <w:rPr>
          <w:rFonts w:ascii="Arial" w:hAnsi="Arial" w:cs="Arial"/>
          <w:sz w:val="20"/>
          <w:szCs w:val="20"/>
        </w:rPr>
        <w:t>Storage vMotion</w:t>
      </w:r>
    </w:p>
    <w:p w14:paraId="7B69BF4A" w14:textId="77777777" w:rsidR="008C293E" w:rsidRPr="001912EF" w:rsidRDefault="008C293E" w:rsidP="008C293E">
      <w:pPr>
        <w:numPr>
          <w:ilvl w:val="0"/>
          <w:numId w:val="5"/>
        </w:numPr>
        <w:rPr>
          <w:rFonts w:ascii="Arial" w:hAnsi="Arial" w:cs="Arial"/>
          <w:sz w:val="20"/>
          <w:szCs w:val="20"/>
        </w:rPr>
      </w:pPr>
      <w:r w:rsidRPr="001912EF">
        <w:rPr>
          <w:rFonts w:ascii="Arial" w:hAnsi="Arial" w:cs="Arial"/>
          <w:sz w:val="20"/>
          <w:szCs w:val="20"/>
        </w:rPr>
        <w:t>Wdrożona infrastruktura jest objęta istniejącym monitoringiem Zamawiającego.</w:t>
      </w:r>
    </w:p>
    <w:p w14:paraId="7EA936B8" w14:textId="790A5679" w:rsidR="008C293E" w:rsidRPr="001912EF" w:rsidRDefault="008C293E" w:rsidP="008C293E">
      <w:pPr>
        <w:numPr>
          <w:ilvl w:val="0"/>
          <w:numId w:val="5"/>
        </w:numPr>
        <w:rPr>
          <w:rFonts w:ascii="Arial" w:hAnsi="Arial" w:cs="Arial"/>
          <w:sz w:val="20"/>
          <w:szCs w:val="20"/>
        </w:rPr>
      </w:pPr>
      <w:r w:rsidRPr="001912EF">
        <w:rPr>
          <w:rFonts w:ascii="Arial" w:hAnsi="Arial" w:cs="Arial"/>
          <w:sz w:val="20"/>
          <w:szCs w:val="20"/>
        </w:rPr>
        <w:t>Wdrożona infrastruktura jest objęta systemem kopii zapasowych Zamawiającego (Commvault).</w:t>
      </w:r>
    </w:p>
    <w:p w14:paraId="3CA52FEC" w14:textId="77777777" w:rsidR="008C293E" w:rsidRPr="001912EF" w:rsidRDefault="008C293E" w:rsidP="008C293E">
      <w:pPr>
        <w:rPr>
          <w:rFonts w:ascii="Arial" w:hAnsi="Arial" w:cs="Arial"/>
          <w:b/>
          <w:bCs/>
          <w:sz w:val="20"/>
          <w:szCs w:val="20"/>
        </w:rPr>
      </w:pPr>
      <w:r w:rsidRPr="001912EF">
        <w:rPr>
          <w:rFonts w:ascii="Arial" w:hAnsi="Arial" w:cs="Arial"/>
          <w:b/>
          <w:bCs/>
          <w:sz w:val="20"/>
          <w:szCs w:val="20"/>
        </w:rPr>
        <w:t>5. Odbiór backupu</w:t>
      </w:r>
    </w:p>
    <w:p w14:paraId="282C4CF9" w14:textId="77777777" w:rsidR="008C293E" w:rsidRPr="001912EF" w:rsidRDefault="008C293E" w:rsidP="008C293E">
      <w:pPr>
        <w:rPr>
          <w:rFonts w:ascii="Arial" w:hAnsi="Arial" w:cs="Arial"/>
          <w:sz w:val="20"/>
          <w:szCs w:val="20"/>
        </w:rPr>
      </w:pPr>
      <w:r w:rsidRPr="001912EF">
        <w:rPr>
          <w:rFonts w:ascii="Arial" w:hAnsi="Arial" w:cs="Arial"/>
          <w:sz w:val="20"/>
          <w:szCs w:val="20"/>
        </w:rPr>
        <w:t>Backup uznaje się za działający gdy:</w:t>
      </w:r>
    </w:p>
    <w:p w14:paraId="4691B6F0" w14:textId="77777777" w:rsidR="008C293E" w:rsidRPr="001912EF" w:rsidRDefault="008C293E" w:rsidP="008C293E">
      <w:pPr>
        <w:numPr>
          <w:ilvl w:val="0"/>
          <w:numId w:val="6"/>
        </w:numPr>
        <w:rPr>
          <w:rFonts w:ascii="Arial" w:hAnsi="Arial" w:cs="Arial"/>
          <w:sz w:val="20"/>
          <w:szCs w:val="20"/>
        </w:rPr>
      </w:pPr>
      <w:r w:rsidRPr="001912EF">
        <w:rPr>
          <w:rFonts w:ascii="Arial" w:hAnsi="Arial" w:cs="Arial"/>
          <w:sz w:val="20"/>
          <w:szCs w:val="20"/>
        </w:rPr>
        <w:t>System kopii zapasowej wykrywa nowe środowisko wirtualizacyjne.</w:t>
      </w:r>
    </w:p>
    <w:p w14:paraId="5F23DDCB" w14:textId="77777777" w:rsidR="008C293E" w:rsidRPr="001912EF" w:rsidRDefault="008C293E" w:rsidP="008C293E">
      <w:pPr>
        <w:numPr>
          <w:ilvl w:val="0"/>
          <w:numId w:val="6"/>
        </w:numPr>
        <w:rPr>
          <w:rFonts w:ascii="Arial" w:hAnsi="Arial" w:cs="Arial"/>
          <w:sz w:val="20"/>
          <w:szCs w:val="20"/>
        </w:rPr>
      </w:pPr>
      <w:r w:rsidRPr="001912EF">
        <w:rPr>
          <w:rFonts w:ascii="Arial" w:hAnsi="Arial" w:cs="Arial"/>
          <w:sz w:val="20"/>
          <w:szCs w:val="20"/>
        </w:rPr>
        <w:t>Wykonano poprawnie:</w:t>
      </w:r>
    </w:p>
    <w:p w14:paraId="7E008EF5" w14:textId="77777777" w:rsidR="008C293E" w:rsidRPr="001912EF" w:rsidRDefault="008C293E" w:rsidP="008C293E">
      <w:pPr>
        <w:numPr>
          <w:ilvl w:val="1"/>
          <w:numId w:val="6"/>
        </w:numPr>
        <w:rPr>
          <w:rFonts w:ascii="Arial" w:hAnsi="Arial" w:cs="Arial"/>
          <w:sz w:val="20"/>
          <w:szCs w:val="20"/>
        </w:rPr>
      </w:pPr>
      <w:r w:rsidRPr="001912EF">
        <w:rPr>
          <w:rFonts w:ascii="Arial" w:hAnsi="Arial" w:cs="Arial"/>
          <w:sz w:val="20"/>
          <w:szCs w:val="20"/>
        </w:rPr>
        <w:t>backup testowej maszyny wirtualnej</w:t>
      </w:r>
    </w:p>
    <w:p w14:paraId="76794184" w14:textId="77777777" w:rsidR="008C293E" w:rsidRPr="001912EF" w:rsidRDefault="008C293E" w:rsidP="008C293E">
      <w:pPr>
        <w:numPr>
          <w:ilvl w:val="1"/>
          <w:numId w:val="6"/>
        </w:numPr>
        <w:rPr>
          <w:rFonts w:ascii="Arial" w:hAnsi="Arial" w:cs="Arial"/>
          <w:sz w:val="20"/>
          <w:szCs w:val="20"/>
        </w:rPr>
      </w:pPr>
      <w:r w:rsidRPr="001912EF">
        <w:rPr>
          <w:rFonts w:ascii="Arial" w:hAnsi="Arial" w:cs="Arial"/>
          <w:sz w:val="20"/>
          <w:szCs w:val="20"/>
        </w:rPr>
        <w:t>przywrócenie maszyny wirtualnej</w:t>
      </w:r>
    </w:p>
    <w:p w14:paraId="59B7A57D" w14:textId="367122E0" w:rsidR="008C293E" w:rsidRPr="001912EF" w:rsidRDefault="008C293E" w:rsidP="008C293E">
      <w:pPr>
        <w:numPr>
          <w:ilvl w:val="0"/>
          <w:numId w:val="6"/>
        </w:numPr>
        <w:rPr>
          <w:rFonts w:ascii="Arial" w:hAnsi="Arial" w:cs="Arial"/>
          <w:sz w:val="20"/>
          <w:szCs w:val="20"/>
        </w:rPr>
      </w:pPr>
      <w:r w:rsidRPr="001912EF">
        <w:rPr>
          <w:rFonts w:ascii="Arial" w:hAnsi="Arial" w:cs="Arial"/>
          <w:sz w:val="20"/>
          <w:szCs w:val="20"/>
        </w:rPr>
        <w:t>Backup wykorzystuje natywne API platformy wirtualizacyjnej.</w:t>
      </w:r>
    </w:p>
    <w:p w14:paraId="75548FC3" w14:textId="77777777" w:rsidR="008C293E" w:rsidRPr="001912EF" w:rsidRDefault="008C293E" w:rsidP="008C293E">
      <w:pPr>
        <w:rPr>
          <w:rFonts w:ascii="Arial" w:hAnsi="Arial" w:cs="Arial"/>
          <w:b/>
          <w:bCs/>
          <w:sz w:val="20"/>
          <w:szCs w:val="20"/>
        </w:rPr>
      </w:pPr>
      <w:r w:rsidRPr="001912EF">
        <w:rPr>
          <w:rFonts w:ascii="Arial" w:hAnsi="Arial" w:cs="Arial"/>
          <w:b/>
          <w:bCs/>
          <w:sz w:val="20"/>
          <w:szCs w:val="20"/>
        </w:rPr>
        <w:t>6. Odbiór funkcjonalności platformy chmury prywatnej</w:t>
      </w:r>
    </w:p>
    <w:p w14:paraId="481C267F" w14:textId="77777777" w:rsidR="008C293E" w:rsidRPr="001912EF" w:rsidRDefault="008C293E" w:rsidP="008C293E">
      <w:pPr>
        <w:rPr>
          <w:rFonts w:ascii="Arial" w:hAnsi="Arial" w:cs="Arial"/>
          <w:sz w:val="20"/>
          <w:szCs w:val="20"/>
        </w:rPr>
      </w:pPr>
      <w:r w:rsidRPr="001912EF">
        <w:rPr>
          <w:rFonts w:ascii="Arial" w:hAnsi="Arial" w:cs="Arial"/>
          <w:sz w:val="20"/>
          <w:szCs w:val="20"/>
        </w:rPr>
        <w:t>Platforma uznana jest za gotową do eksploatacji gdy:</w:t>
      </w:r>
    </w:p>
    <w:p w14:paraId="7AFDBD4F" w14:textId="77777777" w:rsidR="008C293E" w:rsidRPr="001912EF" w:rsidRDefault="008C293E" w:rsidP="008C293E">
      <w:pPr>
        <w:numPr>
          <w:ilvl w:val="0"/>
          <w:numId w:val="7"/>
        </w:numPr>
        <w:rPr>
          <w:rFonts w:ascii="Arial" w:hAnsi="Arial" w:cs="Arial"/>
          <w:sz w:val="20"/>
          <w:szCs w:val="20"/>
        </w:rPr>
      </w:pPr>
      <w:r w:rsidRPr="001912EF">
        <w:rPr>
          <w:rFonts w:ascii="Arial" w:hAnsi="Arial" w:cs="Arial"/>
          <w:sz w:val="20"/>
          <w:szCs w:val="20"/>
        </w:rPr>
        <w:t>Działa centralna konsola zarządzająca platformą.</w:t>
      </w:r>
    </w:p>
    <w:p w14:paraId="73548478" w14:textId="77777777" w:rsidR="008C293E" w:rsidRPr="001912EF" w:rsidRDefault="008C293E" w:rsidP="008C293E">
      <w:pPr>
        <w:numPr>
          <w:ilvl w:val="0"/>
          <w:numId w:val="7"/>
        </w:numPr>
        <w:rPr>
          <w:rFonts w:ascii="Arial" w:hAnsi="Arial" w:cs="Arial"/>
          <w:sz w:val="20"/>
          <w:szCs w:val="20"/>
        </w:rPr>
      </w:pPr>
      <w:r w:rsidRPr="001912EF">
        <w:rPr>
          <w:rFonts w:ascii="Arial" w:hAnsi="Arial" w:cs="Arial"/>
          <w:sz w:val="20"/>
          <w:szCs w:val="20"/>
        </w:rPr>
        <w:t>Działa monitoring środowiska.</w:t>
      </w:r>
    </w:p>
    <w:p w14:paraId="0C6AEAB4" w14:textId="77777777" w:rsidR="008C293E" w:rsidRPr="001912EF" w:rsidRDefault="008C293E" w:rsidP="008C293E">
      <w:pPr>
        <w:numPr>
          <w:ilvl w:val="0"/>
          <w:numId w:val="7"/>
        </w:numPr>
        <w:rPr>
          <w:rFonts w:ascii="Arial" w:hAnsi="Arial" w:cs="Arial"/>
          <w:sz w:val="20"/>
          <w:szCs w:val="20"/>
        </w:rPr>
      </w:pPr>
      <w:r w:rsidRPr="001912EF">
        <w:rPr>
          <w:rFonts w:ascii="Arial" w:hAnsi="Arial" w:cs="Arial"/>
          <w:sz w:val="20"/>
          <w:szCs w:val="20"/>
        </w:rPr>
        <w:t>Działa zbieranie logów platformy.</w:t>
      </w:r>
    </w:p>
    <w:p w14:paraId="7CBABFA6" w14:textId="77777777" w:rsidR="008C293E" w:rsidRPr="001912EF" w:rsidRDefault="008C293E" w:rsidP="008C293E">
      <w:pPr>
        <w:numPr>
          <w:ilvl w:val="0"/>
          <w:numId w:val="7"/>
        </w:numPr>
        <w:rPr>
          <w:rFonts w:ascii="Arial" w:hAnsi="Arial" w:cs="Arial"/>
          <w:sz w:val="20"/>
          <w:szCs w:val="20"/>
        </w:rPr>
      </w:pPr>
      <w:r w:rsidRPr="001912EF">
        <w:rPr>
          <w:rFonts w:ascii="Arial" w:hAnsi="Arial" w:cs="Arial"/>
          <w:sz w:val="20"/>
          <w:szCs w:val="20"/>
        </w:rPr>
        <w:t>Dostępne są mechanizmy automatyzacji i orkiestracji.</w:t>
      </w:r>
    </w:p>
    <w:p w14:paraId="62C066D6" w14:textId="4801B6DA" w:rsidR="008C293E" w:rsidRPr="001912EF" w:rsidRDefault="008C293E" w:rsidP="008C293E">
      <w:pPr>
        <w:numPr>
          <w:ilvl w:val="0"/>
          <w:numId w:val="7"/>
        </w:numPr>
        <w:rPr>
          <w:rFonts w:ascii="Arial" w:hAnsi="Arial" w:cs="Arial"/>
          <w:sz w:val="20"/>
          <w:szCs w:val="20"/>
        </w:rPr>
      </w:pPr>
      <w:r w:rsidRPr="001912EF">
        <w:rPr>
          <w:rFonts w:ascii="Arial" w:hAnsi="Arial" w:cs="Arial"/>
          <w:sz w:val="20"/>
          <w:szCs w:val="20"/>
        </w:rPr>
        <w:t>Możliwe jest utworzenie i uruchomienie maszyny wirtualnej z szablonu.</w:t>
      </w:r>
    </w:p>
    <w:p w14:paraId="0A36031A" w14:textId="77777777" w:rsidR="008C293E" w:rsidRPr="001912EF" w:rsidRDefault="008C293E" w:rsidP="008C293E">
      <w:pPr>
        <w:rPr>
          <w:rFonts w:ascii="Arial" w:hAnsi="Arial" w:cs="Arial"/>
          <w:b/>
          <w:bCs/>
          <w:sz w:val="20"/>
          <w:szCs w:val="20"/>
        </w:rPr>
      </w:pPr>
      <w:r w:rsidRPr="001912EF">
        <w:rPr>
          <w:rFonts w:ascii="Arial" w:hAnsi="Arial" w:cs="Arial"/>
          <w:b/>
          <w:bCs/>
          <w:sz w:val="20"/>
          <w:szCs w:val="20"/>
        </w:rPr>
        <w:t>7. Test migracji referencyjnej</w:t>
      </w:r>
    </w:p>
    <w:p w14:paraId="5521AA60" w14:textId="77777777" w:rsidR="008C293E" w:rsidRPr="001912EF" w:rsidRDefault="008C293E" w:rsidP="008C293E">
      <w:pPr>
        <w:rPr>
          <w:rFonts w:ascii="Arial" w:hAnsi="Arial" w:cs="Arial"/>
          <w:sz w:val="20"/>
          <w:szCs w:val="20"/>
        </w:rPr>
      </w:pPr>
      <w:r w:rsidRPr="001912EF">
        <w:rPr>
          <w:rFonts w:ascii="Arial" w:hAnsi="Arial" w:cs="Arial"/>
          <w:sz w:val="20"/>
          <w:szCs w:val="20"/>
        </w:rPr>
        <w:t>Migracja zostaje uznana za poprawną gdy:</w:t>
      </w:r>
    </w:p>
    <w:p w14:paraId="07920BFB" w14:textId="77777777" w:rsidR="008C293E" w:rsidRPr="001912EF" w:rsidRDefault="008C293E" w:rsidP="008C293E">
      <w:pPr>
        <w:numPr>
          <w:ilvl w:val="0"/>
          <w:numId w:val="8"/>
        </w:numPr>
        <w:rPr>
          <w:rFonts w:ascii="Arial" w:hAnsi="Arial" w:cs="Arial"/>
          <w:sz w:val="20"/>
          <w:szCs w:val="20"/>
        </w:rPr>
      </w:pPr>
      <w:r w:rsidRPr="001912EF">
        <w:rPr>
          <w:rFonts w:ascii="Arial" w:hAnsi="Arial" w:cs="Arial"/>
          <w:sz w:val="20"/>
          <w:szCs w:val="20"/>
        </w:rPr>
        <w:t>Przeniesiono co najmniej jedną maszynę wirtualną ze starego środowiska do nowego klastra.</w:t>
      </w:r>
    </w:p>
    <w:p w14:paraId="08E24D44" w14:textId="77777777" w:rsidR="008C293E" w:rsidRPr="001912EF" w:rsidRDefault="008C293E" w:rsidP="008C293E">
      <w:pPr>
        <w:numPr>
          <w:ilvl w:val="0"/>
          <w:numId w:val="8"/>
        </w:numPr>
        <w:rPr>
          <w:rFonts w:ascii="Arial" w:hAnsi="Arial" w:cs="Arial"/>
          <w:sz w:val="20"/>
          <w:szCs w:val="20"/>
        </w:rPr>
      </w:pPr>
      <w:r w:rsidRPr="001912EF">
        <w:rPr>
          <w:rFonts w:ascii="Arial" w:hAnsi="Arial" w:cs="Arial"/>
          <w:sz w:val="20"/>
          <w:szCs w:val="20"/>
        </w:rPr>
        <w:t>Maszyna wirtualna działa poprawnie po migracji.</w:t>
      </w:r>
    </w:p>
    <w:p w14:paraId="579EA110" w14:textId="0F885300" w:rsidR="008C293E" w:rsidRPr="001912EF" w:rsidRDefault="008C293E" w:rsidP="008C293E">
      <w:pPr>
        <w:numPr>
          <w:ilvl w:val="0"/>
          <w:numId w:val="8"/>
        </w:numPr>
        <w:rPr>
          <w:rFonts w:ascii="Arial" w:hAnsi="Arial" w:cs="Arial"/>
          <w:sz w:val="20"/>
          <w:szCs w:val="20"/>
        </w:rPr>
      </w:pPr>
      <w:r w:rsidRPr="001912EF">
        <w:rPr>
          <w:rFonts w:ascii="Arial" w:hAnsi="Arial" w:cs="Arial"/>
          <w:sz w:val="20"/>
          <w:szCs w:val="20"/>
        </w:rPr>
        <w:t>Usługi uruchomione na maszynie wirtualnej są dostępne po migracji.</w:t>
      </w:r>
    </w:p>
    <w:p w14:paraId="7B95CB7C" w14:textId="77777777" w:rsidR="008C293E" w:rsidRPr="001912EF" w:rsidRDefault="008C293E" w:rsidP="008C293E">
      <w:pPr>
        <w:rPr>
          <w:rFonts w:ascii="Arial" w:hAnsi="Arial" w:cs="Arial"/>
          <w:b/>
          <w:bCs/>
          <w:sz w:val="20"/>
          <w:szCs w:val="20"/>
        </w:rPr>
      </w:pPr>
      <w:r w:rsidRPr="001912EF">
        <w:rPr>
          <w:rFonts w:ascii="Arial" w:hAnsi="Arial" w:cs="Arial"/>
          <w:b/>
          <w:bCs/>
          <w:sz w:val="20"/>
          <w:szCs w:val="20"/>
        </w:rPr>
        <w:lastRenderedPageBreak/>
        <w:t>8. Test wysokiej dostępności</w:t>
      </w:r>
    </w:p>
    <w:p w14:paraId="3CAC4ABC" w14:textId="77777777" w:rsidR="008C293E" w:rsidRPr="001912EF" w:rsidRDefault="008C293E" w:rsidP="008C293E">
      <w:pPr>
        <w:rPr>
          <w:rFonts w:ascii="Arial" w:hAnsi="Arial" w:cs="Arial"/>
          <w:sz w:val="20"/>
          <w:szCs w:val="20"/>
        </w:rPr>
      </w:pPr>
      <w:r w:rsidRPr="001912EF">
        <w:rPr>
          <w:rFonts w:ascii="Arial" w:hAnsi="Arial" w:cs="Arial"/>
          <w:sz w:val="20"/>
          <w:szCs w:val="20"/>
        </w:rPr>
        <w:t>Platforma spełnia kryteria HA gdy:</w:t>
      </w:r>
    </w:p>
    <w:p w14:paraId="38BBDD59" w14:textId="77777777" w:rsidR="008C293E" w:rsidRPr="001912EF" w:rsidRDefault="008C293E" w:rsidP="008C293E">
      <w:pPr>
        <w:numPr>
          <w:ilvl w:val="0"/>
          <w:numId w:val="9"/>
        </w:numPr>
        <w:rPr>
          <w:rFonts w:ascii="Arial" w:hAnsi="Arial" w:cs="Arial"/>
          <w:sz w:val="20"/>
          <w:szCs w:val="20"/>
        </w:rPr>
      </w:pPr>
      <w:r w:rsidRPr="001912EF">
        <w:rPr>
          <w:rFonts w:ascii="Arial" w:hAnsi="Arial" w:cs="Arial"/>
          <w:sz w:val="20"/>
          <w:szCs w:val="20"/>
        </w:rPr>
        <w:t>Symulowana awaria jednego hosta powoduje automatyczne uruchomienie maszyn wirtualnych na innych hostach klastra.</w:t>
      </w:r>
    </w:p>
    <w:p w14:paraId="75411719" w14:textId="636DDC47" w:rsidR="008C293E" w:rsidRPr="001912EF" w:rsidRDefault="008C293E" w:rsidP="008C293E">
      <w:pPr>
        <w:numPr>
          <w:ilvl w:val="0"/>
          <w:numId w:val="9"/>
        </w:numPr>
        <w:rPr>
          <w:rFonts w:ascii="Arial" w:hAnsi="Arial" w:cs="Arial"/>
          <w:sz w:val="20"/>
          <w:szCs w:val="20"/>
        </w:rPr>
      </w:pPr>
      <w:r w:rsidRPr="001912EF">
        <w:rPr>
          <w:rFonts w:ascii="Arial" w:hAnsi="Arial" w:cs="Arial"/>
          <w:sz w:val="20"/>
          <w:szCs w:val="20"/>
        </w:rPr>
        <w:t>Nie dochodzi do utraty danych.</w:t>
      </w:r>
    </w:p>
    <w:p w14:paraId="5D1FFF15" w14:textId="77777777" w:rsidR="008C293E" w:rsidRPr="001912EF" w:rsidRDefault="008C293E" w:rsidP="008C293E">
      <w:pPr>
        <w:rPr>
          <w:rFonts w:ascii="Arial" w:hAnsi="Arial" w:cs="Arial"/>
          <w:b/>
          <w:bCs/>
          <w:sz w:val="20"/>
          <w:szCs w:val="20"/>
        </w:rPr>
      </w:pPr>
      <w:r w:rsidRPr="001912EF">
        <w:rPr>
          <w:rFonts w:ascii="Arial" w:hAnsi="Arial" w:cs="Arial"/>
          <w:b/>
          <w:bCs/>
          <w:sz w:val="20"/>
          <w:szCs w:val="20"/>
        </w:rPr>
        <w:t>9. Dokumentacja powykonawcza</w:t>
      </w:r>
    </w:p>
    <w:p w14:paraId="2F89C323" w14:textId="77777777" w:rsidR="008C293E" w:rsidRPr="001912EF" w:rsidRDefault="008C293E" w:rsidP="008C293E">
      <w:pPr>
        <w:rPr>
          <w:rFonts w:ascii="Arial" w:hAnsi="Arial" w:cs="Arial"/>
          <w:sz w:val="20"/>
          <w:szCs w:val="20"/>
        </w:rPr>
      </w:pPr>
      <w:r w:rsidRPr="001912EF">
        <w:rPr>
          <w:rFonts w:ascii="Arial" w:hAnsi="Arial" w:cs="Arial"/>
          <w:sz w:val="20"/>
          <w:szCs w:val="20"/>
        </w:rPr>
        <w:t>Odbiór końcowy następuje po przekazaniu dokumentacji obejmującej:</w:t>
      </w:r>
    </w:p>
    <w:p w14:paraId="530FEEE1" w14:textId="77777777" w:rsidR="008C293E" w:rsidRPr="001912EF" w:rsidRDefault="008C293E" w:rsidP="008C293E">
      <w:pPr>
        <w:numPr>
          <w:ilvl w:val="0"/>
          <w:numId w:val="10"/>
        </w:numPr>
        <w:rPr>
          <w:rFonts w:ascii="Arial" w:hAnsi="Arial" w:cs="Arial"/>
          <w:sz w:val="20"/>
          <w:szCs w:val="20"/>
        </w:rPr>
      </w:pPr>
      <w:r w:rsidRPr="001912EF">
        <w:rPr>
          <w:rFonts w:ascii="Arial" w:hAnsi="Arial" w:cs="Arial"/>
          <w:sz w:val="20"/>
          <w:szCs w:val="20"/>
        </w:rPr>
        <w:t>architekturę wdrożonego środowiska</w:t>
      </w:r>
    </w:p>
    <w:p w14:paraId="254C0D6C" w14:textId="77777777" w:rsidR="008C293E" w:rsidRPr="001912EF" w:rsidRDefault="008C293E" w:rsidP="008C293E">
      <w:pPr>
        <w:numPr>
          <w:ilvl w:val="0"/>
          <w:numId w:val="10"/>
        </w:numPr>
        <w:rPr>
          <w:rFonts w:ascii="Arial" w:hAnsi="Arial" w:cs="Arial"/>
          <w:sz w:val="20"/>
          <w:szCs w:val="20"/>
        </w:rPr>
      </w:pPr>
      <w:r w:rsidRPr="001912EF">
        <w:rPr>
          <w:rFonts w:ascii="Arial" w:hAnsi="Arial" w:cs="Arial"/>
          <w:sz w:val="20"/>
          <w:szCs w:val="20"/>
        </w:rPr>
        <w:t>konfigurację sieci i storage</w:t>
      </w:r>
    </w:p>
    <w:p w14:paraId="71ABC059" w14:textId="77777777" w:rsidR="008C293E" w:rsidRPr="001912EF" w:rsidRDefault="008C293E" w:rsidP="008C293E">
      <w:pPr>
        <w:numPr>
          <w:ilvl w:val="0"/>
          <w:numId w:val="10"/>
        </w:numPr>
        <w:rPr>
          <w:rFonts w:ascii="Arial" w:hAnsi="Arial" w:cs="Arial"/>
          <w:sz w:val="20"/>
          <w:szCs w:val="20"/>
        </w:rPr>
      </w:pPr>
      <w:r w:rsidRPr="001912EF">
        <w:rPr>
          <w:rFonts w:ascii="Arial" w:hAnsi="Arial" w:cs="Arial"/>
          <w:sz w:val="20"/>
          <w:szCs w:val="20"/>
        </w:rPr>
        <w:t>konfigurację klastrów</w:t>
      </w:r>
    </w:p>
    <w:p w14:paraId="64FF078C" w14:textId="77777777" w:rsidR="008C293E" w:rsidRPr="001912EF" w:rsidRDefault="008C293E" w:rsidP="008C293E">
      <w:pPr>
        <w:numPr>
          <w:ilvl w:val="0"/>
          <w:numId w:val="10"/>
        </w:numPr>
        <w:rPr>
          <w:rFonts w:ascii="Arial" w:hAnsi="Arial" w:cs="Arial"/>
          <w:sz w:val="20"/>
          <w:szCs w:val="20"/>
        </w:rPr>
      </w:pPr>
      <w:r w:rsidRPr="001912EF">
        <w:rPr>
          <w:rFonts w:ascii="Arial" w:hAnsi="Arial" w:cs="Arial"/>
          <w:sz w:val="20"/>
          <w:szCs w:val="20"/>
        </w:rPr>
        <w:t>listę hostów i zasobów</w:t>
      </w:r>
    </w:p>
    <w:p w14:paraId="26D17162" w14:textId="77777777" w:rsidR="008C293E" w:rsidRPr="001912EF" w:rsidRDefault="008C293E" w:rsidP="008C293E">
      <w:pPr>
        <w:numPr>
          <w:ilvl w:val="0"/>
          <w:numId w:val="10"/>
        </w:numPr>
        <w:rPr>
          <w:rFonts w:ascii="Arial" w:hAnsi="Arial" w:cs="Arial"/>
          <w:sz w:val="20"/>
          <w:szCs w:val="20"/>
        </w:rPr>
      </w:pPr>
      <w:r w:rsidRPr="001912EF">
        <w:rPr>
          <w:rFonts w:ascii="Arial" w:hAnsi="Arial" w:cs="Arial"/>
          <w:sz w:val="20"/>
          <w:szCs w:val="20"/>
        </w:rPr>
        <w:t>instrukcję migracji kolejnych środowisk (runbook)</w:t>
      </w:r>
    </w:p>
    <w:p w14:paraId="4BF7892E" w14:textId="77777777" w:rsidR="008C293E" w:rsidRPr="001912EF" w:rsidRDefault="008C293E" w:rsidP="008C293E">
      <w:pPr>
        <w:numPr>
          <w:ilvl w:val="0"/>
          <w:numId w:val="10"/>
        </w:numPr>
        <w:rPr>
          <w:rFonts w:ascii="Arial" w:hAnsi="Arial" w:cs="Arial"/>
          <w:sz w:val="20"/>
          <w:szCs w:val="20"/>
        </w:rPr>
      </w:pPr>
      <w:r w:rsidRPr="001912EF">
        <w:rPr>
          <w:rFonts w:ascii="Arial" w:hAnsi="Arial" w:cs="Arial"/>
          <w:sz w:val="20"/>
          <w:szCs w:val="20"/>
        </w:rPr>
        <w:t>procedury operacyjne (Day-2 operations)</w:t>
      </w:r>
    </w:p>
    <w:p w14:paraId="7256759C" w14:textId="77777777" w:rsidR="008C293E" w:rsidRPr="001912EF" w:rsidRDefault="00935190" w:rsidP="008C293E">
      <w:pPr>
        <w:rPr>
          <w:rFonts w:ascii="Arial" w:hAnsi="Arial" w:cs="Arial"/>
          <w:sz w:val="20"/>
          <w:szCs w:val="20"/>
        </w:rPr>
      </w:pPr>
      <w:r w:rsidRPr="001912EF">
        <w:rPr>
          <w:rFonts w:ascii="Arial" w:hAnsi="Arial" w:cs="Arial"/>
          <w:noProof/>
          <w:sz w:val="20"/>
          <w:szCs w:val="20"/>
        </w:rPr>
        <w:pict w14:anchorId="3899F330">
          <v:rect id="_x0000_i1025" alt="" style="width:412.8pt;height:.05pt;mso-width-percent:0;mso-height-percent:0;mso-width-percent:0;mso-height-percent:0" o:hrpct="882" o:hralign="center" o:hrstd="t" o:hr="t" fillcolor="#a0a0a0" stroked="f"/>
        </w:pict>
      </w:r>
    </w:p>
    <w:p w14:paraId="79EAE1F2" w14:textId="77777777" w:rsidR="008C293E" w:rsidRPr="001912EF" w:rsidRDefault="008C293E" w:rsidP="008C293E">
      <w:pPr>
        <w:rPr>
          <w:rFonts w:ascii="Arial" w:hAnsi="Arial" w:cs="Arial"/>
          <w:b/>
          <w:bCs/>
          <w:sz w:val="20"/>
          <w:szCs w:val="20"/>
        </w:rPr>
      </w:pPr>
      <w:r w:rsidRPr="001912EF">
        <w:rPr>
          <w:rFonts w:ascii="Arial" w:hAnsi="Arial" w:cs="Arial"/>
          <w:b/>
          <w:bCs/>
          <w:sz w:val="20"/>
          <w:szCs w:val="20"/>
        </w:rPr>
        <w:t>10. Kryterium odbioru końcowego</w:t>
      </w:r>
    </w:p>
    <w:p w14:paraId="42EAFFEB" w14:textId="77777777" w:rsidR="008C293E" w:rsidRPr="001912EF" w:rsidRDefault="008C293E" w:rsidP="008C293E">
      <w:pPr>
        <w:rPr>
          <w:rFonts w:ascii="Arial" w:hAnsi="Arial" w:cs="Arial"/>
          <w:sz w:val="20"/>
          <w:szCs w:val="20"/>
        </w:rPr>
      </w:pPr>
      <w:r w:rsidRPr="001912EF">
        <w:rPr>
          <w:rFonts w:ascii="Arial" w:hAnsi="Arial" w:cs="Arial"/>
          <w:sz w:val="20"/>
          <w:szCs w:val="20"/>
        </w:rPr>
        <w:t>System zostaje uznany za odebrany gdy:</w:t>
      </w:r>
    </w:p>
    <w:p w14:paraId="4C68AFB7" w14:textId="77777777" w:rsidR="008C293E" w:rsidRPr="001912EF" w:rsidRDefault="008C293E" w:rsidP="008C293E">
      <w:pPr>
        <w:numPr>
          <w:ilvl w:val="0"/>
          <w:numId w:val="11"/>
        </w:numPr>
        <w:rPr>
          <w:rFonts w:ascii="Arial" w:hAnsi="Arial" w:cs="Arial"/>
          <w:sz w:val="20"/>
          <w:szCs w:val="20"/>
        </w:rPr>
      </w:pPr>
      <w:r w:rsidRPr="001912EF">
        <w:rPr>
          <w:rFonts w:ascii="Arial" w:hAnsi="Arial" w:cs="Arial"/>
          <w:sz w:val="20"/>
          <w:szCs w:val="20"/>
        </w:rPr>
        <w:t xml:space="preserve">wszystkie elementy infrastruktury działają w sposób stabilny przez minimum </w:t>
      </w:r>
      <w:r w:rsidRPr="001912EF">
        <w:rPr>
          <w:rFonts w:ascii="Arial" w:hAnsi="Arial" w:cs="Arial"/>
          <w:b/>
          <w:bCs/>
          <w:sz w:val="20"/>
          <w:szCs w:val="20"/>
        </w:rPr>
        <w:t>5 dni roboczych testów eksploatacyjnych</w:t>
      </w:r>
      <w:r w:rsidRPr="001912EF">
        <w:rPr>
          <w:rFonts w:ascii="Arial" w:hAnsi="Arial" w:cs="Arial"/>
          <w:sz w:val="20"/>
          <w:szCs w:val="20"/>
        </w:rPr>
        <w:t>,</w:t>
      </w:r>
    </w:p>
    <w:p w14:paraId="6729D50C" w14:textId="77777777" w:rsidR="008C293E" w:rsidRPr="001912EF" w:rsidRDefault="008C293E" w:rsidP="008C293E">
      <w:pPr>
        <w:numPr>
          <w:ilvl w:val="0"/>
          <w:numId w:val="11"/>
        </w:numPr>
        <w:rPr>
          <w:rFonts w:ascii="Arial" w:hAnsi="Arial" w:cs="Arial"/>
          <w:sz w:val="20"/>
          <w:szCs w:val="20"/>
        </w:rPr>
      </w:pPr>
      <w:r w:rsidRPr="001912EF">
        <w:rPr>
          <w:rFonts w:ascii="Arial" w:hAnsi="Arial" w:cs="Arial"/>
          <w:sz w:val="20"/>
          <w:szCs w:val="20"/>
        </w:rPr>
        <w:t>nie występują błędy krytyczne,</w:t>
      </w:r>
    </w:p>
    <w:p w14:paraId="6BA2247D" w14:textId="3420D39C" w:rsidR="008C293E" w:rsidRPr="001912EF" w:rsidRDefault="008C293E" w:rsidP="008C293E">
      <w:pPr>
        <w:numPr>
          <w:ilvl w:val="0"/>
          <w:numId w:val="11"/>
        </w:numPr>
        <w:rPr>
          <w:rFonts w:ascii="Arial" w:hAnsi="Arial" w:cs="Arial"/>
          <w:sz w:val="20"/>
          <w:szCs w:val="20"/>
        </w:rPr>
      </w:pPr>
      <w:r w:rsidRPr="001912EF">
        <w:rPr>
          <w:rFonts w:ascii="Arial" w:hAnsi="Arial" w:cs="Arial"/>
          <w:sz w:val="20"/>
          <w:szCs w:val="20"/>
        </w:rPr>
        <w:t>Zamawiający otrzyma pełną dokumentację powdrożeniową.</w:t>
      </w:r>
    </w:p>
    <w:p w14:paraId="03AC5820" w14:textId="77777777" w:rsidR="008C293E" w:rsidRPr="001912EF" w:rsidRDefault="008C293E" w:rsidP="008C293E">
      <w:pPr>
        <w:rPr>
          <w:rFonts w:ascii="Arial" w:hAnsi="Arial" w:cs="Arial"/>
          <w:sz w:val="20"/>
          <w:szCs w:val="20"/>
        </w:rPr>
      </w:pPr>
      <w:r w:rsidRPr="001912EF">
        <w:rPr>
          <w:rFonts w:ascii="Arial" w:hAnsi="Arial" w:cs="Arial"/>
          <w:sz w:val="20"/>
          <w:szCs w:val="20"/>
        </w:rPr>
        <w:t>Odbiór rozwiązania następuje po spełnieniu wszystkich kryteriów funkcjonalnych oraz przeprowadzeniu testów integracyjnych potwierdzających poprawne działanie środowiska jako rozszerzenia istniejącej platformy VMware Cloud Foundation.</w:t>
      </w:r>
    </w:p>
    <w:p w14:paraId="4FCF098B" w14:textId="77777777" w:rsidR="005002AD" w:rsidRPr="001912EF" w:rsidRDefault="005002AD">
      <w:pPr>
        <w:rPr>
          <w:rFonts w:ascii="Arial" w:hAnsi="Arial" w:cs="Arial"/>
          <w:sz w:val="20"/>
          <w:szCs w:val="20"/>
        </w:rPr>
      </w:pPr>
    </w:p>
    <w:sectPr w:rsidR="005002AD" w:rsidRPr="001912EF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6DA242" w14:textId="77777777" w:rsidR="00935190" w:rsidRDefault="00935190" w:rsidP="00383706">
      <w:pPr>
        <w:spacing w:after="0" w:line="240" w:lineRule="auto"/>
      </w:pPr>
      <w:r>
        <w:separator/>
      </w:r>
    </w:p>
  </w:endnote>
  <w:endnote w:type="continuationSeparator" w:id="0">
    <w:p w14:paraId="4CB4F864" w14:textId="77777777" w:rsidR="00935190" w:rsidRDefault="00935190" w:rsidP="003837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altName w:val="Cambria"/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EC3FD1" w14:textId="77777777" w:rsidR="00935190" w:rsidRDefault="00935190" w:rsidP="00383706">
      <w:pPr>
        <w:spacing w:after="0" w:line="240" w:lineRule="auto"/>
      </w:pPr>
      <w:r>
        <w:separator/>
      </w:r>
    </w:p>
  </w:footnote>
  <w:footnote w:type="continuationSeparator" w:id="0">
    <w:p w14:paraId="37F6A014" w14:textId="77777777" w:rsidR="00935190" w:rsidRDefault="00935190" w:rsidP="003837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B315C6" w14:textId="56B65CB0" w:rsidR="00383706" w:rsidRDefault="00383706">
    <w:pPr>
      <w:pStyle w:val="Nagwek"/>
    </w:pPr>
    <w:r>
      <w:rPr>
        <w:noProof/>
      </w:rPr>
      <w:drawing>
        <wp:inline distT="0" distB="0" distL="0" distR="0" wp14:anchorId="2D0EB4EA" wp14:editId="283F51D9">
          <wp:extent cx="5731510" cy="664210"/>
          <wp:effectExtent l="0" t="0" r="2540" b="2540"/>
          <wp:docPr id="1461191187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31510" cy="6642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45A42"/>
    <w:multiLevelType w:val="multilevel"/>
    <w:tmpl w:val="BE542C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B33597E"/>
    <w:multiLevelType w:val="multilevel"/>
    <w:tmpl w:val="DFAC61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5231CA6"/>
    <w:multiLevelType w:val="multilevel"/>
    <w:tmpl w:val="83C0F3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C4C3D47"/>
    <w:multiLevelType w:val="multilevel"/>
    <w:tmpl w:val="0CCC55A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D226420"/>
    <w:multiLevelType w:val="multilevel"/>
    <w:tmpl w:val="BF664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3C20A3C"/>
    <w:multiLevelType w:val="multilevel"/>
    <w:tmpl w:val="99467A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70E2AED"/>
    <w:multiLevelType w:val="multilevel"/>
    <w:tmpl w:val="1D6614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CC2761E"/>
    <w:multiLevelType w:val="multilevel"/>
    <w:tmpl w:val="3F0640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89601F9"/>
    <w:multiLevelType w:val="multilevel"/>
    <w:tmpl w:val="B09A7E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94357A8"/>
    <w:multiLevelType w:val="multilevel"/>
    <w:tmpl w:val="3EAE13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B610E30"/>
    <w:multiLevelType w:val="multilevel"/>
    <w:tmpl w:val="F760AD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310409332">
    <w:abstractNumId w:val="8"/>
  </w:num>
  <w:num w:numId="2" w16cid:durableId="673190207">
    <w:abstractNumId w:val="6"/>
  </w:num>
  <w:num w:numId="3" w16cid:durableId="1283220376">
    <w:abstractNumId w:val="7"/>
  </w:num>
  <w:num w:numId="4" w16cid:durableId="500858457">
    <w:abstractNumId w:val="3"/>
  </w:num>
  <w:num w:numId="5" w16cid:durableId="748959977">
    <w:abstractNumId w:val="9"/>
  </w:num>
  <w:num w:numId="6" w16cid:durableId="152259308">
    <w:abstractNumId w:val="1"/>
  </w:num>
  <w:num w:numId="7" w16cid:durableId="1966546716">
    <w:abstractNumId w:val="0"/>
  </w:num>
  <w:num w:numId="8" w16cid:durableId="1489904535">
    <w:abstractNumId w:val="5"/>
  </w:num>
  <w:num w:numId="9" w16cid:durableId="294678172">
    <w:abstractNumId w:val="2"/>
  </w:num>
  <w:num w:numId="10" w16cid:durableId="1172184845">
    <w:abstractNumId w:val="4"/>
  </w:num>
  <w:num w:numId="11" w16cid:durableId="45017077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293E"/>
    <w:rsid w:val="00036396"/>
    <w:rsid w:val="001912EF"/>
    <w:rsid w:val="00292B39"/>
    <w:rsid w:val="00383706"/>
    <w:rsid w:val="003E3B25"/>
    <w:rsid w:val="005002AD"/>
    <w:rsid w:val="0053517F"/>
    <w:rsid w:val="0061513B"/>
    <w:rsid w:val="00662F61"/>
    <w:rsid w:val="00717142"/>
    <w:rsid w:val="00765086"/>
    <w:rsid w:val="007C0B7E"/>
    <w:rsid w:val="007C7259"/>
    <w:rsid w:val="007F57C5"/>
    <w:rsid w:val="008C293E"/>
    <w:rsid w:val="00915A08"/>
    <w:rsid w:val="00935190"/>
    <w:rsid w:val="00A423B3"/>
    <w:rsid w:val="00AD6A7A"/>
    <w:rsid w:val="00AF32DE"/>
    <w:rsid w:val="00B37748"/>
    <w:rsid w:val="00C66FDA"/>
    <w:rsid w:val="00ED02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3D6EC0"/>
  <w15:chartTrackingRefBased/>
  <w15:docId w15:val="{A69A715C-250A-41FE-B1E5-90ED59AD1B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8C293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C293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C293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C293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C293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C293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C293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C293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C293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C293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C293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C293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C293E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C293E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C293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C293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C293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C293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C293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C293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C293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C293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C293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C293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C293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C293E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C293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C293E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C293E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38370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83706"/>
  </w:style>
  <w:style w:type="paragraph" w:styleId="Stopka">
    <w:name w:val="footer"/>
    <w:basedOn w:val="Normalny"/>
    <w:link w:val="StopkaZnak"/>
    <w:uiPriority w:val="99"/>
    <w:unhideWhenUsed/>
    <w:rsid w:val="0038370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837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635</Words>
  <Characters>3810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NASK PIB</Company>
  <LinksUpToDate>false</LinksUpToDate>
  <CharactersWithSpaces>4437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Błaszczyk</dc:creator>
  <cp:keywords/>
  <dc:description/>
  <cp:lastModifiedBy>Krzysztof Zmitrowicz</cp:lastModifiedBy>
  <cp:revision>9</cp:revision>
  <dcterms:created xsi:type="dcterms:W3CDTF">2026-03-05T14:17:00Z</dcterms:created>
  <dcterms:modified xsi:type="dcterms:W3CDTF">2026-03-11T08:41:00Z</dcterms:modified>
</cp:coreProperties>
</file>