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6B2" w:rsidRPr="00E9443C" w:rsidRDefault="00F316B2" w:rsidP="00F4488D">
      <w:pPr>
        <w:pStyle w:val="Nagwek1"/>
        <w:rPr>
          <w:lang w:eastAsia="pl-PL"/>
        </w:rPr>
      </w:pPr>
      <w:bookmarkStart w:id="0" w:name="_GoBack"/>
      <w:bookmarkEnd w:id="0"/>
      <w:r w:rsidRPr="00E9443C">
        <w:rPr>
          <w:lang w:eastAsia="pl-PL"/>
        </w:rPr>
        <w:t>Opis przedmiotu zamówienia</w:t>
      </w:r>
    </w:p>
    <w:p w:rsidR="00F316B2" w:rsidRPr="00E9443C" w:rsidRDefault="00F316B2" w:rsidP="00F316B2">
      <w:pPr>
        <w:numPr>
          <w:ilvl w:val="0"/>
          <w:numId w:val="8"/>
        </w:numPr>
        <w:suppressAutoHyphens w:val="0"/>
        <w:spacing w:after="200" w:line="276" w:lineRule="auto"/>
        <w:ind w:left="426" w:hanging="426"/>
        <w:textAlignment w:val="baseline"/>
        <w:rPr>
          <w:rFonts w:ascii="Calibri" w:hAnsi="Calibri" w:cs="Calibri"/>
          <w:b/>
          <w:bCs/>
          <w:color w:val="00000A"/>
          <w:sz w:val="20"/>
          <w:szCs w:val="20"/>
          <w:lang w:eastAsia="pl-PL"/>
        </w:rPr>
      </w:pPr>
      <w:r w:rsidRPr="00E9443C">
        <w:rPr>
          <w:rFonts w:ascii="Calibri" w:hAnsi="Calibri" w:cs="Calibri"/>
          <w:b/>
          <w:bCs/>
          <w:color w:val="00000A"/>
          <w:sz w:val="20"/>
          <w:szCs w:val="20"/>
          <w:lang w:eastAsia="pl-PL"/>
        </w:rPr>
        <w:t>Przedmiot zamówienia.</w:t>
      </w:r>
    </w:p>
    <w:p w:rsidR="00F316B2" w:rsidRPr="0014792D" w:rsidRDefault="00F316B2" w:rsidP="00F316B2">
      <w:pPr>
        <w:numPr>
          <w:ilvl w:val="1"/>
          <w:numId w:val="9"/>
        </w:numPr>
        <w:suppressAutoHyphens w:val="0"/>
        <w:spacing w:after="200" w:line="276" w:lineRule="auto"/>
        <w:contextualSpacing/>
        <w:jc w:val="both"/>
        <w:textAlignment w:val="baseline"/>
        <w:rPr>
          <w:rFonts w:ascii="Calibri" w:hAnsi="Calibri" w:cs="Calibri"/>
          <w:b/>
          <w:bCs/>
          <w:color w:val="00000A"/>
          <w:sz w:val="20"/>
          <w:szCs w:val="20"/>
          <w:lang w:eastAsia="pl-PL"/>
        </w:rPr>
      </w:pPr>
      <w:r w:rsidRPr="00E9443C">
        <w:rPr>
          <w:rFonts w:ascii="Calibri" w:hAnsi="Calibri" w:cs="Calibri"/>
          <w:color w:val="00000A"/>
          <w:sz w:val="20"/>
          <w:szCs w:val="20"/>
          <w:lang w:eastAsia="pl-PL"/>
        </w:rPr>
        <w:t xml:space="preserve">Przedmiotem zamówienia jest wykonanie naprawy </w:t>
      </w:r>
      <w:r w:rsidR="0014792D">
        <w:rPr>
          <w:rFonts w:ascii="Calibri" w:hAnsi="Calibri" w:cs="Calibri"/>
          <w:color w:val="00000A"/>
          <w:sz w:val="20"/>
          <w:szCs w:val="20"/>
          <w:lang w:eastAsia="pl-PL"/>
        </w:rPr>
        <w:t xml:space="preserve">awaryjnej </w:t>
      </w:r>
      <w:r w:rsidR="000C6B07">
        <w:rPr>
          <w:rFonts w:ascii="Calibri" w:hAnsi="Calibri" w:cs="Calibri"/>
          <w:color w:val="00000A"/>
          <w:sz w:val="20"/>
          <w:szCs w:val="20"/>
          <w:lang w:eastAsia="pl-PL"/>
        </w:rPr>
        <w:t>jednego silnika asynchronicznego</w:t>
      </w:r>
      <w:r w:rsidRPr="00E9443C">
        <w:rPr>
          <w:rFonts w:ascii="Calibri" w:hAnsi="Calibri" w:cs="Calibri"/>
          <w:color w:val="00000A"/>
          <w:sz w:val="20"/>
          <w:szCs w:val="20"/>
          <w:lang w:eastAsia="pl-PL"/>
        </w:rPr>
        <w:t xml:space="preserve"> zdemontowan</w:t>
      </w:r>
      <w:r w:rsidR="0022229C">
        <w:rPr>
          <w:rFonts w:ascii="Calibri" w:hAnsi="Calibri" w:cs="Calibri"/>
          <w:color w:val="00000A"/>
          <w:sz w:val="20"/>
          <w:szCs w:val="20"/>
          <w:lang w:eastAsia="pl-PL"/>
        </w:rPr>
        <w:t>ych</w:t>
      </w:r>
      <w:r w:rsidR="0014792D">
        <w:rPr>
          <w:rFonts w:ascii="Calibri" w:hAnsi="Calibri" w:cs="Calibri"/>
          <w:color w:val="00000A"/>
          <w:sz w:val="20"/>
          <w:szCs w:val="20"/>
          <w:lang w:eastAsia="pl-PL"/>
        </w:rPr>
        <w:t xml:space="preserve"> </w:t>
      </w:r>
      <w:r w:rsidRPr="00E9443C">
        <w:rPr>
          <w:rFonts w:ascii="Calibri" w:hAnsi="Calibri" w:cs="Calibri"/>
          <w:color w:val="00000A"/>
          <w:sz w:val="20"/>
          <w:szCs w:val="20"/>
          <w:lang w:eastAsia="pl-PL"/>
        </w:rPr>
        <w:t xml:space="preserve">z pojazdu trakcyjnego. </w:t>
      </w:r>
      <w:r w:rsidRPr="00E9443C">
        <w:rPr>
          <w:rFonts w:ascii="Calibri" w:eastAsia="Calibri" w:hAnsi="Calibri" w:cs="Calibri"/>
          <w:color w:val="00000A"/>
          <w:sz w:val="20"/>
          <w:szCs w:val="20"/>
          <w:lang w:eastAsia="en-US"/>
        </w:rPr>
        <w:t xml:space="preserve">Naprawa przedmiotu zamówienia polega na wykonaniu pomiarów oraz przywróceniu parametrów eksploatacyjnych w zakresie podstawowym oraz na wymianie poważniejszych elementów konstrukcyjnych w zakresie prac dodatkowych zgodnie z </w:t>
      </w:r>
      <w:r>
        <w:rPr>
          <w:rFonts w:ascii="Calibri" w:eastAsia="Calibri" w:hAnsi="Calibri" w:cs="Calibri"/>
          <w:color w:val="00000A"/>
          <w:sz w:val="20"/>
          <w:szCs w:val="20"/>
          <w:lang w:eastAsia="en-US"/>
        </w:rPr>
        <w:t xml:space="preserve">normami, </w:t>
      </w:r>
      <w:r w:rsidRPr="00E9443C">
        <w:rPr>
          <w:rFonts w:ascii="Calibri" w:eastAsia="Calibri" w:hAnsi="Calibri" w:cs="Calibri"/>
          <w:color w:val="00000A"/>
          <w:sz w:val="20"/>
          <w:szCs w:val="20"/>
          <w:lang w:eastAsia="en-US"/>
        </w:rPr>
        <w:t xml:space="preserve">dokumentacją konstrukcyjną oraz techniczno- ruchową silników trakcyjnych typu TMF 50-29-4 400 </w:t>
      </w:r>
      <w:proofErr w:type="spellStart"/>
      <w:r w:rsidRPr="00E9443C">
        <w:rPr>
          <w:rFonts w:ascii="Calibri" w:eastAsia="Calibri" w:hAnsi="Calibri" w:cs="Calibri"/>
          <w:color w:val="00000A"/>
          <w:sz w:val="20"/>
          <w:szCs w:val="20"/>
          <w:lang w:eastAsia="en-US"/>
        </w:rPr>
        <w:t>kW.</w:t>
      </w:r>
      <w:proofErr w:type="spellEnd"/>
      <w:r w:rsidRPr="00E9443C">
        <w:rPr>
          <w:rFonts w:ascii="Calibri" w:eastAsia="Calibri" w:hAnsi="Calibri" w:cs="Calibri"/>
          <w:b/>
          <w:bCs/>
          <w:color w:val="000000"/>
          <w:sz w:val="20"/>
          <w:szCs w:val="20"/>
          <w:lang w:eastAsia="pl-PL"/>
        </w:rPr>
        <w:t xml:space="preserve"> </w:t>
      </w:r>
    </w:p>
    <w:p w:rsidR="0014792D" w:rsidRPr="0014792D" w:rsidRDefault="000C6B07" w:rsidP="00F316B2">
      <w:pPr>
        <w:numPr>
          <w:ilvl w:val="1"/>
          <w:numId w:val="9"/>
        </w:numPr>
        <w:suppressAutoHyphens w:val="0"/>
        <w:spacing w:after="200" w:line="276" w:lineRule="auto"/>
        <w:contextualSpacing/>
        <w:jc w:val="both"/>
        <w:textAlignment w:val="baseline"/>
        <w:rPr>
          <w:rFonts w:ascii="Calibri" w:hAnsi="Calibri" w:cs="Calibri"/>
          <w:bCs/>
          <w:color w:val="00000A"/>
          <w:sz w:val="20"/>
          <w:szCs w:val="20"/>
          <w:lang w:eastAsia="pl-PL"/>
        </w:rPr>
      </w:pPr>
      <w:r>
        <w:rPr>
          <w:rFonts w:ascii="Calibri" w:eastAsia="Calibri" w:hAnsi="Calibri" w:cs="Calibri"/>
          <w:bCs/>
          <w:color w:val="000000"/>
          <w:sz w:val="20"/>
          <w:szCs w:val="20"/>
          <w:lang w:eastAsia="pl-PL"/>
        </w:rPr>
        <w:t>W silniku</w:t>
      </w:r>
      <w:r w:rsidR="0014792D" w:rsidRPr="0014792D">
        <w:rPr>
          <w:rFonts w:ascii="Calibri" w:eastAsia="Calibri" w:hAnsi="Calibri" w:cs="Calibri"/>
          <w:bCs/>
          <w:color w:val="000000"/>
          <w:sz w:val="20"/>
          <w:szCs w:val="20"/>
          <w:lang w:eastAsia="pl-PL"/>
        </w:rPr>
        <w:t xml:space="preserve"> zdiagnozowano zwarcie do masy (zwarcie do obudowy) silnika.  </w:t>
      </w:r>
    </w:p>
    <w:p w:rsidR="00F316B2" w:rsidRPr="00E9443C" w:rsidRDefault="00F316B2" w:rsidP="00F316B2">
      <w:pPr>
        <w:suppressAutoHyphens w:val="0"/>
        <w:contextualSpacing/>
        <w:jc w:val="both"/>
        <w:textAlignment w:val="baseline"/>
        <w:rPr>
          <w:rFonts w:ascii="Calibri" w:eastAsia="Calibri" w:hAnsi="Calibri" w:cs="Calibri"/>
          <w:color w:val="00000A"/>
          <w:sz w:val="20"/>
          <w:szCs w:val="20"/>
          <w:lang w:eastAsia="en-US"/>
        </w:rPr>
      </w:pPr>
    </w:p>
    <w:p w:rsidR="00F316B2" w:rsidRPr="00E9443C" w:rsidRDefault="00F316B2" w:rsidP="00F316B2">
      <w:pPr>
        <w:numPr>
          <w:ilvl w:val="0"/>
          <w:numId w:val="8"/>
        </w:numPr>
        <w:tabs>
          <w:tab w:val="num" w:pos="426"/>
        </w:tabs>
        <w:suppressAutoHyphens w:val="0"/>
        <w:spacing w:after="200" w:line="276" w:lineRule="auto"/>
        <w:ind w:hanging="720"/>
        <w:textAlignment w:val="baseline"/>
        <w:rPr>
          <w:rFonts w:ascii="Calibri" w:hAnsi="Calibri" w:cs="Calibri"/>
          <w:b/>
          <w:bCs/>
          <w:color w:val="000000"/>
          <w:sz w:val="20"/>
          <w:szCs w:val="20"/>
          <w:lang w:eastAsia="pl-PL"/>
        </w:rPr>
      </w:pPr>
      <w:r w:rsidRPr="00E9443C">
        <w:rPr>
          <w:rFonts w:ascii="Calibri" w:hAnsi="Calibri" w:cs="Calibri"/>
          <w:b/>
          <w:bCs/>
          <w:color w:val="000000"/>
          <w:sz w:val="20"/>
          <w:szCs w:val="20"/>
          <w:lang w:eastAsia="pl-PL"/>
        </w:rPr>
        <w:t>Zakres usługi przewidziany do wykonania prac w poszczególnych zadaniach obejmie:</w:t>
      </w:r>
    </w:p>
    <w:p w:rsidR="00F316B2" w:rsidRPr="00E9443C" w:rsidRDefault="00F316B2" w:rsidP="00F316B2">
      <w:pPr>
        <w:numPr>
          <w:ilvl w:val="1"/>
          <w:numId w:val="10"/>
        </w:numPr>
        <w:suppressAutoHyphens w:val="0"/>
        <w:spacing w:after="200" w:line="276" w:lineRule="auto"/>
        <w:contextualSpacing/>
        <w:rPr>
          <w:sz w:val="24"/>
          <w:szCs w:val="24"/>
          <w:lang w:eastAsia="pl-PL"/>
        </w:rPr>
      </w:pPr>
      <w:r w:rsidRPr="00E9443C">
        <w:rPr>
          <w:rFonts w:ascii="Calibri" w:hAnsi="Calibri" w:cs="Calibri"/>
          <w:color w:val="000000"/>
          <w:sz w:val="20"/>
          <w:szCs w:val="20"/>
          <w:lang w:eastAsia="pl-PL"/>
        </w:rPr>
        <w:t xml:space="preserve"> Naprawa silnik</w:t>
      </w:r>
      <w:r w:rsidR="000C6B07">
        <w:rPr>
          <w:rFonts w:ascii="Calibri" w:hAnsi="Calibri" w:cs="Calibri"/>
          <w:color w:val="000000"/>
          <w:sz w:val="20"/>
          <w:szCs w:val="20"/>
          <w:lang w:eastAsia="pl-PL"/>
        </w:rPr>
        <w:t>a trakcyjnego</w:t>
      </w:r>
      <w:r w:rsidRPr="00E9443C">
        <w:rPr>
          <w:rFonts w:ascii="Calibri" w:hAnsi="Calibri" w:cs="Calibri"/>
          <w:color w:val="000000"/>
          <w:sz w:val="20"/>
          <w:szCs w:val="20"/>
          <w:lang w:eastAsia="pl-PL"/>
        </w:rPr>
        <w:t xml:space="preserve"> w zakresie stałym zgodnie z wykazem prac zawartym w Tabeli nr 1 wraz </w:t>
      </w:r>
      <w:r w:rsidRPr="00E9443C">
        <w:rPr>
          <w:rFonts w:ascii="Calibri" w:hAnsi="Calibri" w:cs="Calibri"/>
          <w:color w:val="000000"/>
          <w:sz w:val="20"/>
          <w:szCs w:val="20"/>
          <w:lang w:eastAsia="pl-PL"/>
        </w:rPr>
        <w:br/>
        <w:t xml:space="preserve">z pracami dodatkowymi koniecznymi do dopuszczenia podzespołu do eksploatacji zgodnie z wykazem </w:t>
      </w:r>
      <w:r>
        <w:rPr>
          <w:rFonts w:ascii="Calibri" w:hAnsi="Calibri" w:cs="Calibri"/>
          <w:color w:val="000000"/>
          <w:sz w:val="20"/>
          <w:szCs w:val="20"/>
          <w:lang w:eastAsia="pl-PL"/>
        </w:rPr>
        <w:t xml:space="preserve">prac zawartym w Tabeli nr 2, </w:t>
      </w:r>
      <w:r w:rsidRPr="00E9443C">
        <w:rPr>
          <w:rFonts w:ascii="Calibri" w:hAnsi="Calibri" w:cs="Calibri"/>
          <w:color w:val="000000"/>
          <w:sz w:val="20"/>
          <w:szCs w:val="20"/>
          <w:lang w:eastAsia="pl-PL"/>
        </w:rPr>
        <w:t xml:space="preserve"> Dokumentacją Techniczno-Ruchową </w:t>
      </w:r>
      <w:r>
        <w:rPr>
          <w:rFonts w:ascii="Calibri" w:hAnsi="Calibri" w:cs="Calibri"/>
          <w:color w:val="000000"/>
          <w:sz w:val="20"/>
          <w:szCs w:val="20"/>
          <w:lang w:eastAsia="pl-PL"/>
        </w:rPr>
        <w:t xml:space="preserve">(Instrukcją Obsługi) </w:t>
      </w:r>
      <w:r w:rsidRPr="00E9443C">
        <w:rPr>
          <w:rFonts w:ascii="Calibri" w:hAnsi="Calibri" w:cs="Calibri"/>
          <w:color w:val="000000"/>
          <w:sz w:val="20"/>
          <w:szCs w:val="20"/>
          <w:lang w:eastAsia="pl-PL"/>
        </w:rPr>
        <w:t>producenta silników</w:t>
      </w:r>
      <w:r>
        <w:rPr>
          <w:rFonts w:ascii="Calibri" w:hAnsi="Calibri" w:cs="Calibri"/>
          <w:color w:val="000000"/>
          <w:sz w:val="20"/>
          <w:szCs w:val="20"/>
          <w:lang w:eastAsia="pl-PL"/>
        </w:rPr>
        <w:t xml:space="preserve"> </w:t>
      </w:r>
      <w:r w:rsidRPr="001D241A">
        <w:rPr>
          <w:rFonts w:ascii="Calibri" w:hAnsi="Calibri" w:cs="Calibri"/>
          <w:color w:val="000000"/>
          <w:sz w:val="20"/>
          <w:szCs w:val="20"/>
          <w:lang w:eastAsia="pl-PL"/>
        </w:rPr>
        <w:t>oraz normami dotyczącymi trakcyjnych silników asynchronicznych.</w:t>
      </w:r>
    </w:p>
    <w:p w:rsidR="00F316B2" w:rsidRPr="00E9443C" w:rsidRDefault="00F316B2" w:rsidP="00F316B2">
      <w:pPr>
        <w:suppressAutoHyphens w:val="0"/>
        <w:contextualSpacing/>
        <w:rPr>
          <w:sz w:val="24"/>
          <w:szCs w:val="24"/>
          <w:lang w:eastAsia="pl-PL"/>
        </w:rPr>
      </w:pPr>
    </w:p>
    <w:p w:rsidR="00F316B2" w:rsidRPr="00E9443C" w:rsidRDefault="00F316B2" w:rsidP="00F316B2">
      <w:pPr>
        <w:suppressAutoHyphens w:val="0"/>
        <w:jc w:val="center"/>
        <w:rPr>
          <w:rFonts w:ascii="Calibri" w:hAnsi="Calibri" w:cs="Calibri"/>
          <w:b/>
          <w:i/>
          <w:iCs/>
          <w:sz w:val="18"/>
          <w:szCs w:val="18"/>
          <w:lang w:eastAsia="pl-PL"/>
        </w:rPr>
      </w:pPr>
      <w:r w:rsidRPr="00E9443C">
        <w:rPr>
          <w:rFonts w:ascii="Calibri" w:hAnsi="Calibri" w:cs="Calibri"/>
          <w:b/>
          <w:i/>
          <w:iCs/>
          <w:sz w:val="18"/>
          <w:szCs w:val="18"/>
          <w:lang w:eastAsia="pl-PL"/>
        </w:rPr>
        <w:t xml:space="preserve">Tabela nr 1  </w:t>
      </w:r>
      <w:r w:rsidRPr="00E9443C">
        <w:rPr>
          <w:rFonts w:ascii="Calibri" w:hAnsi="Calibri" w:cs="Calibri"/>
          <w:b/>
          <w:i/>
          <w:iCs/>
          <w:sz w:val="18"/>
          <w:szCs w:val="18"/>
          <w:u w:val="single"/>
          <w:lang w:eastAsia="pl-PL"/>
        </w:rPr>
        <w:t>Stały zakres prac</w:t>
      </w:r>
      <w:r w:rsidRPr="00E9443C">
        <w:rPr>
          <w:rFonts w:ascii="Calibri" w:hAnsi="Calibri" w:cs="Calibri"/>
          <w:b/>
          <w:i/>
          <w:iCs/>
          <w:sz w:val="18"/>
          <w:szCs w:val="18"/>
          <w:lang w:eastAsia="pl-PL"/>
        </w:rPr>
        <w:t xml:space="preserve"> dla silnika asynchronicznego typu: TMF 50-29-4 400 </w:t>
      </w:r>
      <w:proofErr w:type="spellStart"/>
      <w:r w:rsidRPr="00E9443C">
        <w:rPr>
          <w:rFonts w:ascii="Calibri" w:hAnsi="Calibri" w:cs="Calibri"/>
          <w:b/>
          <w:i/>
          <w:iCs/>
          <w:sz w:val="18"/>
          <w:szCs w:val="18"/>
          <w:lang w:eastAsia="pl-PL"/>
        </w:rPr>
        <w:t>kW.</w:t>
      </w:r>
      <w:proofErr w:type="spellEnd"/>
    </w:p>
    <w:tbl>
      <w:tblPr>
        <w:tblStyle w:val="Tabela-Siatka16"/>
        <w:tblW w:w="8642" w:type="dxa"/>
        <w:tblInd w:w="567" w:type="dxa"/>
        <w:tblLook w:val="04A0" w:firstRow="1" w:lastRow="0" w:firstColumn="1" w:lastColumn="0" w:noHBand="0" w:noVBand="1"/>
      </w:tblPr>
      <w:tblGrid>
        <w:gridCol w:w="817"/>
        <w:gridCol w:w="7825"/>
      </w:tblGrid>
      <w:tr w:rsidR="0022229C" w:rsidRPr="00E9443C" w:rsidTr="0022229C">
        <w:tc>
          <w:tcPr>
            <w:tcW w:w="817" w:type="dxa"/>
            <w:vAlign w:val="center"/>
          </w:tcPr>
          <w:p w:rsidR="0022229C" w:rsidRPr="00E9443C" w:rsidRDefault="0022229C" w:rsidP="00E968EC">
            <w:pPr>
              <w:suppressAutoHyphens w:val="0"/>
              <w:jc w:val="center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 w:rsidRPr="00E9443C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7825" w:type="dxa"/>
            <w:vAlign w:val="center"/>
          </w:tcPr>
          <w:p w:rsidR="0022229C" w:rsidRPr="00E9443C" w:rsidRDefault="0022229C" w:rsidP="00E968EC">
            <w:pPr>
              <w:suppressAutoHyphens w:val="0"/>
              <w:jc w:val="center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 w:rsidRPr="00E9443C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Wyszczególnienie prac  dla silników:</w:t>
            </w:r>
            <w:r w:rsidRPr="00E9443C">
              <w:rPr>
                <w:rFonts w:ascii="Calibri" w:hAnsi="Calibri" w:cs="Calibri"/>
                <w:color w:val="00000A"/>
                <w:sz w:val="20"/>
                <w:szCs w:val="20"/>
                <w:lang w:eastAsia="pl-PL"/>
              </w:rPr>
              <w:t xml:space="preserve"> </w:t>
            </w:r>
            <w:r w:rsidRPr="00E9443C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 xml:space="preserve">TMF 50-29-4 400 kW, </w:t>
            </w:r>
          </w:p>
          <w:p w:rsidR="0022229C" w:rsidRPr="00E9443C" w:rsidRDefault="0022229C" w:rsidP="00E968EC">
            <w:pPr>
              <w:suppressAutoHyphens w:val="0"/>
              <w:jc w:val="center"/>
              <w:rPr>
                <w:rFonts w:ascii="Calibri" w:hAnsi="Calibri" w:cs="Calibri"/>
                <w:sz w:val="20"/>
                <w:szCs w:val="20"/>
                <w:lang w:eastAsia="pl-PL"/>
              </w:rPr>
            </w:pPr>
          </w:p>
        </w:tc>
      </w:tr>
      <w:tr w:rsidR="0022229C" w:rsidRPr="00E9443C" w:rsidTr="0022229C">
        <w:tc>
          <w:tcPr>
            <w:tcW w:w="817" w:type="dxa"/>
            <w:vAlign w:val="center"/>
          </w:tcPr>
          <w:p w:rsidR="0022229C" w:rsidRPr="00E9443C" w:rsidRDefault="0022229C" w:rsidP="00E968EC">
            <w:pPr>
              <w:suppressAutoHyphens w:val="0"/>
              <w:jc w:val="center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 w:rsidRPr="00E9443C">
              <w:rPr>
                <w:rFonts w:ascii="Calibri" w:hAnsi="Calibri" w:cs="Calibri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7825" w:type="dxa"/>
            <w:vAlign w:val="center"/>
          </w:tcPr>
          <w:p w:rsidR="0022229C" w:rsidRPr="00E9443C" w:rsidRDefault="0022229C" w:rsidP="00E968EC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 w:rsidRPr="00E9443C"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>Badania diagnostyczne; wstępna ocena stanu technicznego silnika</w:t>
            </w:r>
            <w:r w:rsidRPr="008E2965"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>, stojana, wirnika, podzespołów silnika.</w:t>
            </w:r>
          </w:p>
        </w:tc>
      </w:tr>
      <w:tr w:rsidR="0022229C" w:rsidRPr="00E9443C" w:rsidTr="0022229C">
        <w:trPr>
          <w:trHeight w:val="666"/>
        </w:trPr>
        <w:tc>
          <w:tcPr>
            <w:tcW w:w="817" w:type="dxa"/>
            <w:vAlign w:val="center"/>
          </w:tcPr>
          <w:p w:rsidR="0022229C" w:rsidRPr="00E9443C" w:rsidRDefault="0022229C" w:rsidP="00E968EC">
            <w:pPr>
              <w:suppressAutoHyphens w:val="0"/>
              <w:jc w:val="center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 w:rsidRPr="00E9443C">
              <w:rPr>
                <w:rFonts w:ascii="Calibri" w:hAnsi="Calibri" w:cs="Calibri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7825" w:type="dxa"/>
          </w:tcPr>
          <w:p w:rsidR="0022229C" w:rsidRPr="00E9443C" w:rsidRDefault="0022229C" w:rsidP="00E968EC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 w:rsidRPr="00E9443C"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 xml:space="preserve">Demontaż silnika (tj. demontaż; osłony NDE oraz TMBU , kołnierza przekładni, wirnika, 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 xml:space="preserve">osłon, </w:t>
            </w:r>
            <w:r w:rsidRPr="00E9443C"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>kratek wentylacyjnych)</w:t>
            </w:r>
          </w:p>
        </w:tc>
      </w:tr>
      <w:tr w:rsidR="0022229C" w:rsidRPr="00E9443C" w:rsidTr="0022229C">
        <w:tc>
          <w:tcPr>
            <w:tcW w:w="817" w:type="dxa"/>
            <w:vAlign w:val="center"/>
          </w:tcPr>
          <w:p w:rsidR="0022229C" w:rsidRPr="00E9443C" w:rsidRDefault="0022229C" w:rsidP="00E968EC">
            <w:pPr>
              <w:suppressAutoHyphens w:val="0"/>
              <w:jc w:val="center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 w:rsidRPr="00E9443C">
              <w:rPr>
                <w:rFonts w:ascii="Calibri" w:hAnsi="Calibri" w:cs="Calibri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7825" w:type="dxa"/>
            <w:vAlign w:val="center"/>
          </w:tcPr>
          <w:p w:rsidR="0022229C" w:rsidRPr="00B6709C" w:rsidRDefault="0022229C" w:rsidP="00E968EC">
            <w:pPr>
              <w:rPr>
                <w:rFonts w:ascii="Calibri Light" w:eastAsia="Calibri" w:hAnsi="Calibri Light" w:cs="Calibri"/>
                <w:b/>
                <w:sz w:val="18"/>
                <w:szCs w:val="16"/>
                <w:lang w:eastAsia="pl-PL"/>
              </w:rPr>
            </w:pPr>
            <w:r w:rsidRPr="00B6709C"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>Czyszczenie, mycie - stojana uzwojonego, wirnika, węzła łożyskowego, podzespołów silnika( element pośredni; tarcza NDE; kołnierza zębatego; uszczelnień labiryntowych; koła czujnika prędkości; półsprzęgła;  pierścienia wsporczego; osłon;).</w:t>
            </w:r>
          </w:p>
          <w:p w:rsidR="0022229C" w:rsidRPr="00B6709C" w:rsidRDefault="0022229C" w:rsidP="00E968EC">
            <w:pPr>
              <w:suppressAutoHyphens w:val="0"/>
              <w:jc w:val="both"/>
              <w:textAlignment w:val="baseline"/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 xml:space="preserve"> Suszenie elementów silnika – uzwojonego stojana, wirnika.</w:t>
            </w:r>
          </w:p>
        </w:tc>
      </w:tr>
      <w:tr w:rsidR="0022229C" w:rsidRPr="00E9443C" w:rsidTr="0022229C">
        <w:tc>
          <w:tcPr>
            <w:tcW w:w="817" w:type="dxa"/>
            <w:vAlign w:val="center"/>
          </w:tcPr>
          <w:p w:rsidR="0022229C" w:rsidRPr="00E9443C" w:rsidRDefault="0022229C" w:rsidP="00E968EC">
            <w:pPr>
              <w:suppressAutoHyphens w:val="0"/>
              <w:jc w:val="center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7825" w:type="dxa"/>
            <w:vAlign w:val="center"/>
          </w:tcPr>
          <w:p w:rsidR="0022229C" w:rsidRPr="00E9443C" w:rsidRDefault="0022229C" w:rsidP="00E968EC">
            <w:pPr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</w:pPr>
            <w:r w:rsidRPr="00B6709C"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>Kontrola i testowanie pakietu blach stojana: test magnetyczny, pomiar termowizyjny stojana lub pomiar bezpośredni testerem, wraz z dowodnym przedstawieniem wyników przeprowadzonych pomiarów.</w:t>
            </w:r>
          </w:p>
        </w:tc>
      </w:tr>
      <w:tr w:rsidR="0022229C" w:rsidRPr="00E9443C" w:rsidTr="0022229C">
        <w:tc>
          <w:tcPr>
            <w:tcW w:w="817" w:type="dxa"/>
            <w:vAlign w:val="center"/>
          </w:tcPr>
          <w:p w:rsidR="0022229C" w:rsidRPr="00E9443C" w:rsidRDefault="0022229C" w:rsidP="00E968EC">
            <w:pPr>
              <w:suppressAutoHyphens w:val="0"/>
              <w:jc w:val="center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7825" w:type="dxa"/>
            <w:vAlign w:val="center"/>
          </w:tcPr>
          <w:p w:rsidR="0022229C" w:rsidRPr="00B6709C" w:rsidRDefault="0022229C" w:rsidP="00E968EC">
            <w:pPr>
              <w:suppressAutoHyphens w:val="0"/>
              <w:textAlignment w:val="baseline"/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</w:pPr>
            <w:r w:rsidRPr="00E9443C"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>Pomiar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>y elektryczne</w:t>
            </w:r>
            <w:r w:rsidRPr="00E9443C"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 xml:space="preserve">: </w:t>
            </w:r>
            <w:r w:rsidRPr="006437AB"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>indukcyjności, rezystancji uzwojeń, rezystancji izolacji, określenie  współczynnika: absorpcji DAR, polaryzacji PI, napięcie schodkowe SV, rozładowanie dielektryka DD lub poziom wyładowań niezupełnych, próby napięciowe wytrzymałości izolacji.</w:t>
            </w:r>
          </w:p>
        </w:tc>
      </w:tr>
      <w:tr w:rsidR="0022229C" w:rsidRPr="00E9443C" w:rsidTr="0022229C">
        <w:tc>
          <w:tcPr>
            <w:tcW w:w="817" w:type="dxa"/>
            <w:vAlign w:val="center"/>
          </w:tcPr>
          <w:p w:rsidR="0022229C" w:rsidRPr="00E9443C" w:rsidRDefault="0022229C" w:rsidP="00E968EC">
            <w:pPr>
              <w:suppressAutoHyphens w:val="0"/>
              <w:jc w:val="center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7825" w:type="dxa"/>
            <w:vAlign w:val="center"/>
          </w:tcPr>
          <w:p w:rsidR="0022229C" w:rsidRPr="00E9443C" w:rsidRDefault="0022229C" w:rsidP="00E968EC">
            <w:pPr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</w:pPr>
            <w:r w:rsidRPr="00B6709C"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>Badanie MT oraz UT: wału wirnika w przypadku zablokowanych łożysk lub labiryntów.</w:t>
            </w:r>
          </w:p>
        </w:tc>
      </w:tr>
      <w:tr w:rsidR="0022229C" w:rsidRPr="00E9443C" w:rsidTr="0022229C">
        <w:tc>
          <w:tcPr>
            <w:tcW w:w="817" w:type="dxa"/>
            <w:vAlign w:val="center"/>
          </w:tcPr>
          <w:p w:rsidR="0022229C" w:rsidRPr="00E9443C" w:rsidRDefault="0022229C" w:rsidP="00E968EC">
            <w:pPr>
              <w:suppressAutoHyphens w:val="0"/>
              <w:jc w:val="center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7825" w:type="dxa"/>
            <w:vAlign w:val="center"/>
          </w:tcPr>
          <w:p w:rsidR="0022229C" w:rsidRPr="00E9443C" w:rsidRDefault="0022229C" w:rsidP="00E968EC">
            <w:pPr>
              <w:suppressAutoHyphens w:val="0"/>
              <w:textAlignment w:val="baseline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 w:rsidRPr="00E9443C"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 xml:space="preserve">Impregnacja 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 xml:space="preserve">VPI </w:t>
            </w:r>
            <w:r w:rsidRPr="00E9443C"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>uzwojeń stojana i połączeń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 xml:space="preserve">, </w:t>
            </w:r>
            <w:r w:rsidRPr="00E9443C"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>naprawa ubytków- tymi samymi taśmami i żywicą elektroizolacyjną tej samej klasy, co podczas mo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>ntażu silnika wg właściwego DTR</w:t>
            </w:r>
            <w:r w:rsidRPr="00E9443C"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>.</w:t>
            </w:r>
          </w:p>
        </w:tc>
      </w:tr>
      <w:tr w:rsidR="0022229C" w:rsidRPr="00E9443C" w:rsidTr="0022229C">
        <w:tc>
          <w:tcPr>
            <w:tcW w:w="817" w:type="dxa"/>
            <w:vAlign w:val="center"/>
          </w:tcPr>
          <w:p w:rsidR="0022229C" w:rsidRPr="00E9443C" w:rsidRDefault="0022229C" w:rsidP="00E968EC">
            <w:pPr>
              <w:suppressAutoHyphens w:val="0"/>
              <w:jc w:val="center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7825" w:type="dxa"/>
            <w:vAlign w:val="center"/>
          </w:tcPr>
          <w:p w:rsidR="0022229C" w:rsidRPr="00E9443C" w:rsidRDefault="0022229C" w:rsidP="00E968EC">
            <w:pPr>
              <w:suppressAutoHyphens w:val="0"/>
              <w:textAlignment w:val="baseline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 w:rsidRPr="00E9443C"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>Pomiary mechaniczne: wykonać diagnostykę drganiową stanu łożyska tocznego silnika; sprawdzenie czopów wału;  sprawdzenie luzów promieniowych łożyska i luzu osiowego.</w:t>
            </w:r>
          </w:p>
        </w:tc>
      </w:tr>
      <w:tr w:rsidR="0022229C" w:rsidRPr="00E9443C" w:rsidTr="0022229C">
        <w:tc>
          <w:tcPr>
            <w:tcW w:w="817" w:type="dxa"/>
            <w:vAlign w:val="center"/>
          </w:tcPr>
          <w:p w:rsidR="0022229C" w:rsidRPr="00E9443C" w:rsidRDefault="0022229C" w:rsidP="00E968EC">
            <w:pPr>
              <w:suppressAutoHyphens w:val="0"/>
              <w:jc w:val="center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7825" w:type="dxa"/>
            <w:vAlign w:val="center"/>
          </w:tcPr>
          <w:p w:rsidR="0022229C" w:rsidRPr="00E9443C" w:rsidRDefault="0022229C" w:rsidP="00E968EC">
            <w:pPr>
              <w:suppressAutoHyphens w:val="0"/>
              <w:textAlignment w:val="baseline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 w:rsidRPr="00E9443C"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>Sprawdzenie stanu wirnika.</w:t>
            </w:r>
          </w:p>
        </w:tc>
      </w:tr>
      <w:tr w:rsidR="0022229C" w:rsidRPr="00E9443C" w:rsidTr="0022229C">
        <w:tc>
          <w:tcPr>
            <w:tcW w:w="817" w:type="dxa"/>
            <w:vAlign w:val="center"/>
          </w:tcPr>
          <w:p w:rsidR="0022229C" w:rsidRPr="00E9443C" w:rsidRDefault="0022229C" w:rsidP="00E968EC">
            <w:pPr>
              <w:suppressAutoHyphens w:val="0"/>
              <w:jc w:val="center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7825" w:type="dxa"/>
            <w:vAlign w:val="center"/>
          </w:tcPr>
          <w:p w:rsidR="0022229C" w:rsidRPr="00E9443C" w:rsidRDefault="0022229C" w:rsidP="00E968EC">
            <w:pPr>
              <w:suppressAutoHyphens w:val="0"/>
              <w:textAlignment w:val="baseline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 w:rsidRPr="00E9443C"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>Sprawdzenie stanu: otworów wlotowych i wylotowych powietrza; siatek wentylacyjnych; otworów gwintowanych;  gniazda łożyskowego w tarczy NDE; w razie konieczności regeneracja.</w:t>
            </w:r>
          </w:p>
        </w:tc>
      </w:tr>
      <w:tr w:rsidR="0022229C" w:rsidRPr="00E9443C" w:rsidTr="0022229C">
        <w:trPr>
          <w:trHeight w:val="381"/>
        </w:trPr>
        <w:tc>
          <w:tcPr>
            <w:tcW w:w="817" w:type="dxa"/>
            <w:vAlign w:val="center"/>
          </w:tcPr>
          <w:p w:rsidR="0022229C" w:rsidRPr="00E9443C" w:rsidRDefault="0022229C" w:rsidP="00E968EC">
            <w:pPr>
              <w:suppressAutoHyphens w:val="0"/>
              <w:jc w:val="center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7825" w:type="dxa"/>
            <w:vAlign w:val="center"/>
          </w:tcPr>
          <w:p w:rsidR="0022229C" w:rsidRPr="00E9443C" w:rsidRDefault="0022229C" w:rsidP="00E968EC">
            <w:pPr>
              <w:suppressAutoHyphens w:val="0"/>
              <w:textAlignment w:val="baseline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 w:rsidRPr="00E9443C"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>Wyważenie dynamiczne wirnika.</w:t>
            </w:r>
          </w:p>
        </w:tc>
      </w:tr>
      <w:tr w:rsidR="0022229C" w:rsidRPr="00E9443C" w:rsidTr="0022229C">
        <w:trPr>
          <w:trHeight w:val="563"/>
        </w:trPr>
        <w:tc>
          <w:tcPr>
            <w:tcW w:w="817" w:type="dxa"/>
            <w:vAlign w:val="center"/>
          </w:tcPr>
          <w:p w:rsidR="0022229C" w:rsidRPr="00E9443C" w:rsidRDefault="0022229C" w:rsidP="00E968EC">
            <w:pPr>
              <w:suppressAutoHyphens w:val="0"/>
              <w:jc w:val="center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7825" w:type="dxa"/>
            <w:vAlign w:val="center"/>
          </w:tcPr>
          <w:p w:rsidR="0022229C" w:rsidRPr="00E9443C" w:rsidRDefault="0022229C" w:rsidP="00E968EC">
            <w:pPr>
              <w:suppressAutoHyphens w:val="0"/>
              <w:textAlignment w:val="baseline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 w:rsidRPr="00E9443C"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>Sprawdzenie przewodów, gniazd/złącz, czujników; temperatury, obrotów, zębatki do pomiaru obrotów.</w:t>
            </w:r>
          </w:p>
        </w:tc>
      </w:tr>
      <w:tr w:rsidR="0022229C" w:rsidRPr="00E9443C" w:rsidTr="0022229C">
        <w:tc>
          <w:tcPr>
            <w:tcW w:w="817" w:type="dxa"/>
            <w:vAlign w:val="center"/>
          </w:tcPr>
          <w:p w:rsidR="0022229C" w:rsidRPr="00E9443C" w:rsidRDefault="0022229C" w:rsidP="00F316B2">
            <w:pPr>
              <w:suppressAutoHyphens w:val="0"/>
              <w:jc w:val="center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 w:rsidRPr="00E9443C">
              <w:rPr>
                <w:rFonts w:ascii="Calibri" w:hAnsi="Calibri" w:cs="Calibri"/>
                <w:sz w:val="20"/>
                <w:szCs w:val="20"/>
                <w:lang w:eastAsia="pl-PL"/>
              </w:rPr>
              <w:t>1</w:t>
            </w: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7825" w:type="dxa"/>
            <w:vAlign w:val="center"/>
          </w:tcPr>
          <w:p w:rsidR="0022229C" w:rsidRPr="00E9443C" w:rsidRDefault="0022229C" w:rsidP="00E968EC">
            <w:pPr>
              <w:suppressAutoHyphens w:val="0"/>
              <w:textAlignment w:val="baseline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 w:rsidRPr="00E9443C"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>Wymiana lub uzupełnienie końcówek przewodów, oraz wymiana lub uzupełnienie ocechowań przewodów.</w:t>
            </w:r>
          </w:p>
        </w:tc>
      </w:tr>
      <w:tr w:rsidR="0022229C" w:rsidRPr="00E9443C" w:rsidTr="0022229C">
        <w:tc>
          <w:tcPr>
            <w:tcW w:w="817" w:type="dxa"/>
            <w:vAlign w:val="center"/>
          </w:tcPr>
          <w:p w:rsidR="0022229C" w:rsidRPr="00E9443C" w:rsidRDefault="0022229C" w:rsidP="00F316B2">
            <w:pPr>
              <w:suppressAutoHyphens w:val="0"/>
              <w:jc w:val="center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 w:rsidRPr="00E9443C">
              <w:rPr>
                <w:rFonts w:ascii="Calibri" w:hAnsi="Calibri" w:cs="Calibri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7825" w:type="dxa"/>
            <w:vAlign w:val="center"/>
          </w:tcPr>
          <w:p w:rsidR="0022229C" w:rsidRPr="00E9443C" w:rsidRDefault="0022229C" w:rsidP="00F316B2">
            <w:pPr>
              <w:suppressAutoHyphens w:val="0"/>
              <w:textAlignment w:val="baseline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 w:rsidRPr="00E9443C"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>Wymiana lub uzupełnienie dławic kablowych.</w:t>
            </w:r>
          </w:p>
        </w:tc>
      </w:tr>
      <w:tr w:rsidR="0022229C" w:rsidRPr="00E9443C" w:rsidTr="0022229C">
        <w:tc>
          <w:tcPr>
            <w:tcW w:w="817" w:type="dxa"/>
            <w:vAlign w:val="center"/>
          </w:tcPr>
          <w:p w:rsidR="0022229C" w:rsidRPr="00E9443C" w:rsidRDefault="0022229C" w:rsidP="00F316B2">
            <w:pPr>
              <w:suppressAutoHyphens w:val="0"/>
              <w:jc w:val="center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 w:rsidRPr="00E9443C">
              <w:rPr>
                <w:rFonts w:ascii="Calibri" w:hAnsi="Calibri" w:cs="Calibri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7825" w:type="dxa"/>
            <w:vAlign w:val="center"/>
          </w:tcPr>
          <w:p w:rsidR="0022229C" w:rsidRPr="006437AB" w:rsidRDefault="0022229C" w:rsidP="00F316B2">
            <w:pPr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</w:pPr>
            <w:r w:rsidRPr="006437AB"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 xml:space="preserve">Wymiana wszystkich uszkodzonych normaliów. Bezwarunkowa wymiana podkładek </w:t>
            </w:r>
            <w:r w:rsidRPr="006437AB"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lastRenderedPageBreak/>
              <w:t>sprężynowych, zawleczek (jeśli takowe występują) oraz podkładek specjalnych zabezpieczających.</w:t>
            </w:r>
          </w:p>
        </w:tc>
      </w:tr>
      <w:tr w:rsidR="0022229C" w:rsidRPr="00E9443C" w:rsidTr="0022229C">
        <w:tc>
          <w:tcPr>
            <w:tcW w:w="817" w:type="dxa"/>
            <w:vAlign w:val="center"/>
          </w:tcPr>
          <w:p w:rsidR="0022229C" w:rsidRPr="00E9443C" w:rsidRDefault="0022229C" w:rsidP="00F316B2">
            <w:pPr>
              <w:suppressAutoHyphens w:val="0"/>
              <w:jc w:val="center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 w:rsidRPr="00E9443C">
              <w:rPr>
                <w:rFonts w:ascii="Calibri" w:hAnsi="Calibri" w:cs="Calibri"/>
                <w:sz w:val="20"/>
                <w:szCs w:val="20"/>
                <w:lang w:eastAsia="pl-PL"/>
              </w:rPr>
              <w:lastRenderedPageBreak/>
              <w:t>16</w:t>
            </w:r>
          </w:p>
        </w:tc>
        <w:tc>
          <w:tcPr>
            <w:tcW w:w="7825" w:type="dxa"/>
            <w:vAlign w:val="center"/>
          </w:tcPr>
          <w:p w:rsidR="0022229C" w:rsidRPr="006437AB" w:rsidRDefault="0022229C" w:rsidP="00F316B2">
            <w:pPr>
              <w:suppressAutoHyphens w:val="0"/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</w:pPr>
            <w:r w:rsidRPr="00E9443C"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>Usunięcie innych  usterek elementów mocujących zawieszenia silnika (śruby, hak zabezpieczający otwory gwintowane</w:t>
            </w:r>
          </w:p>
        </w:tc>
      </w:tr>
      <w:tr w:rsidR="0022229C" w:rsidRPr="00E9443C" w:rsidTr="0022229C">
        <w:tc>
          <w:tcPr>
            <w:tcW w:w="817" w:type="dxa"/>
            <w:vAlign w:val="center"/>
          </w:tcPr>
          <w:p w:rsidR="0022229C" w:rsidRPr="00E9443C" w:rsidRDefault="0022229C" w:rsidP="00F316B2">
            <w:pPr>
              <w:suppressAutoHyphens w:val="0"/>
              <w:jc w:val="center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7825" w:type="dxa"/>
            <w:vAlign w:val="center"/>
          </w:tcPr>
          <w:p w:rsidR="0022229C" w:rsidRPr="006437AB" w:rsidRDefault="0022229C" w:rsidP="00F316B2">
            <w:pPr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</w:pPr>
            <w:r w:rsidRPr="006437AB"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>Usunięcie uszkodzeń mechanicznych z kadłuba silnika (pęknięcia, uszkodzenia od uderzenia ciał obcych, itp.)</w:t>
            </w:r>
          </w:p>
        </w:tc>
      </w:tr>
      <w:tr w:rsidR="0022229C" w:rsidRPr="00E9443C" w:rsidTr="0022229C">
        <w:tc>
          <w:tcPr>
            <w:tcW w:w="817" w:type="dxa"/>
            <w:vAlign w:val="center"/>
          </w:tcPr>
          <w:p w:rsidR="0022229C" w:rsidRPr="00E9443C" w:rsidRDefault="0022229C" w:rsidP="00F316B2">
            <w:pPr>
              <w:suppressAutoHyphens w:val="0"/>
              <w:jc w:val="center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7825" w:type="dxa"/>
            <w:vAlign w:val="center"/>
          </w:tcPr>
          <w:p w:rsidR="0022229C" w:rsidRPr="00E9443C" w:rsidRDefault="0022229C" w:rsidP="00F316B2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 w:rsidRPr="00E9443C"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 xml:space="preserve">Wykonanie powłok malarskich, zabezpieczenia antykorozyjnego zgodnie ze specyfikacją malowania </w:t>
            </w:r>
          </w:p>
        </w:tc>
      </w:tr>
      <w:tr w:rsidR="0022229C" w:rsidRPr="00E9443C" w:rsidTr="0022229C">
        <w:tc>
          <w:tcPr>
            <w:tcW w:w="817" w:type="dxa"/>
            <w:vAlign w:val="center"/>
          </w:tcPr>
          <w:p w:rsidR="0022229C" w:rsidRPr="00E9443C" w:rsidRDefault="0022229C" w:rsidP="00F316B2">
            <w:pPr>
              <w:suppressAutoHyphens w:val="0"/>
              <w:jc w:val="center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19</w:t>
            </w:r>
          </w:p>
        </w:tc>
        <w:tc>
          <w:tcPr>
            <w:tcW w:w="7825" w:type="dxa"/>
          </w:tcPr>
          <w:p w:rsidR="0022229C" w:rsidRPr="00E9443C" w:rsidRDefault="0022229C" w:rsidP="00F316B2">
            <w:pPr>
              <w:suppressAutoHyphens w:val="0"/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>Wymiana zespołu łożyska TMBU lub NU w zależności od wykonania.</w:t>
            </w:r>
          </w:p>
        </w:tc>
      </w:tr>
      <w:tr w:rsidR="0022229C" w:rsidRPr="00E9443C" w:rsidTr="0022229C">
        <w:tc>
          <w:tcPr>
            <w:tcW w:w="817" w:type="dxa"/>
            <w:vAlign w:val="center"/>
          </w:tcPr>
          <w:p w:rsidR="0022229C" w:rsidRPr="00E9443C" w:rsidRDefault="0022229C" w:rsidP="00F316B2">
            <w:pPr>
              <w:suppressAutoHyphens w:val="0"/>
              <w:jc w:val="center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7825" w:type="dxa"/>
            <w:vAlign w:val="center"/>
          </w:tcPr>
          <w:p w:rsidR="0022229C" w:rsidRPr="00E9443C" w:rsidRDefault="0022229C" w:rsidP="00F316B2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 w:rsidRPr="00E9443C"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>Montaż silnika</w:t>
            </w:r>
          </w:p>
        </w:tc>
      </w:tr>
      <w:tr w:rsidR="0022229C" w:rsidRPr="00E9443C" w:rsidTr="0022229C">
        <w:tc>
          <w:tcPr>
            <w:tcW w:w="817" w:type="dxa"/>
            <w:vAlign w:val="center"/>
          </w:tcPr>
          <w:p w:rsidR="0022229C" w:rsidRPr="00E9443C" w:rsidRDefault="0022229C" w:rsidP="00F316B2">
            <w:pPr>
              <w:suppressAutoHyphens w:val="0"/>
              <w:jc w:val="center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21</w:t>
            </w:r>
          </w:p>
        </w:tc>
        <w:tc>
          <w:tcPr>
            <w:tcW w:w="7825" w:type="dxa"/>
            <w:vAlign w:val="center"/>
          </w:tcPr>
          <w:p w:rsidR="0022229C" w:rsidRPr="00E9443C" w:rsidRDefault="0022229C" w:rsidP="00F316B2">
            <w:pPr>
              <w:suppressAutoHyphens w:val="0"/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</w:pPr>
            <w:r w:rsidRPr="00E9443C"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>Próby wdrożeniowe, próba: biegu jałowego, obciążenia, zwarcia maszyny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8D743A"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>wg standardu IEC 349-2.</w:t>
            </w:r>
          </w:p>
        </w:tc>
      </w:tr>
    </w:tbl>
    <w:p w:rsidR="00F316B2" w:rsidRPr="00E9443C" w:rsidRDefault="00F316B2" w:rsidP="00F316B2">
      <w:pPr>
        <w:suppressAutoHyphens w:val="0"/>
        <w:spacing w:after="200"/>
        <w:jc w:val="center"/>
        <w:rPr>
          <w:sz w:val="24"/>
          <w:szCs w:val="24"/>
          <w:lang w:eastAsia="pl-PL"/>
        </w:rPr>
      </w:pPr>
    </w:p>
    <w:p w:rsidR="00F316B2" w:rsidRPr="00E9443C" w:rsidRDefault="00F316B2" w:rsidP="00F316B2">
      <w:pPr>
        <w:suppressAutoHyphens w:val="0"/>
        <w:spacing w:after="200"/>
        <w:jc w:val="center"/>
        <w:rPr>
          <w:rFonts w:ascii="Calibri" w:hAnsi="Calibri" w:cs="Calibri"/>
          <w:b/>
          <w:bCs/>
          <w:sz w:val="20"/>
          <w:szCs w:val="20"/>
          <w:lang w:eastAsia="pl-PL"/>
        </w:rPr>
      </w:pPr>
      <w:r w:rsidRPr="00E9443C">
        <w:rPr>
          <w:rFonts w:ascii="Calibri" w:hAnsi="Calibri" w:cs="Calibri"/>
          <w:b/>
          <w:i/>
          <w:iCs/>
          <w:sz w:val="18"/>
          <w:szCs w:val="18"/>
          <w:lang w:eastAsia="pl-PL"/>
        </w:rPr>
        <w:t xml:space="preserve">Tabela 2 Wyszczególnienie </w:t>
      </w:r>
      <w:r w:rsidRPr="00E9443C">
        <w:rPr>
          <w:rFonts w:ascii="Calibri" w:hAnsi="Calibri" w:cs="Calibri"/>
          <w:b/>
          <w:i/>
          <w:iCs/>
          <w:sz w:val="18"/>
          <w:szCs w:val="18"/>
          <w:u w:val="single"/>
          <w:lang w:eastAsia="pl-PL"/>
        </w:rPr>
        <w:t>prac dodatkowych</w:t>
      </w:r>
      <w:r w:rsidRPr="00E9443C">
        <w:rPr>
          <w:rFonts w:ascii="Calibri" w:hAnsi="Calibri" w:cs="Calibri"/>
          <w:b/>
          <w:i/>
          <w:iCs/>
          <w:sz w:val="18"/>
          <w:szCs w:val="18"/>
          <w:lang w:eastAsia="pl-PL"/>
        </w:rPr>
        <w:t xml:space="preserve">  dla silnika asynchronicznego typu: TMF 50-29-4 400kW.</w:t>
      </w:r>
    </w:p>
    <w:tbl>
      <w:tblPr>
        <w:tblStyle w:val="Tabela-Siatka16"/>
        <w:tblW w:w="867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827"/>
        <w:gridCol w:w="7848"/>
      </w:tblGrid>
      <w:tr w:rsidR="00F316B2" w:rsidRPr="00E9443C" w:rsidTr="0022229C">
        <w:tc>
          <w:tcPr>
            <w:tcW w:w="827" w:type="dxa"/>
          </w:tcPr>
          <w:p w:rsidR="00F316B2" w:rsidRPr="00E9443C" w:rsidRDefault="00F316B2" w:rsidP="00E968EC">
            <w:pPr>
              <w:suppressAutoHyphens w:val="0"/>
              <w:contextualSpacing/>
              <w:jc w:val="center"/>
              <w:textAlignment w:val="baseline"/>
              <w:rPr>
                <w:rFonts w:ascii="Calibri" w:hAnsi="Calibri" w:cs="Calibri"/>
                <w:bCs/>
                <w:color w:val="00000A"/>
                <w:sz w:val="20"/>
                <w:szCs w:val="20"/>
                <w:lang w:eastAsia="pl-PL"/>
              </w:rPr>
            </w:pPr>
            <w:r w:rsidRPr="00E9443C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7848" w:type="dxa"/>
          </w:tcPr>
          <w:p w:rsidR="00F316B2" w:rsidRPr="00E9443C" w:rsidRDefault="00F316B2" w:rsidP="00E968EC">
            <w:pPr>
              <w:suppressAutoHyphens w:val="0"/>
              <w:jc w:val="center"/>
              <w:rPr>
                <w:rFonts w:ascii="Calibri" w:hAnsi="Calibri" w:cs="Calibri"/>
                <w:bCs/>
                <w:color w:val="00000A"/>
                <w:sz w:val="20"/>
                <w:szCs w:val="20"/>
                <w:lang w:eastAsia="pl-PL"/>
              </w:rPr>
            </w:pPr>
            <w:r w:rsidRPr="00E9443C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Wyszczególnienie prac  dla silników:</w:t>
            </w:r>
            <w:r w:rsidRPr="00E9443C">
              <w:rPr>
                <w:rFonts w:ascii="Calibri" w:hAnsi="Calibri" w:cs="Calibri"/>
                <w:color w:val="00000A"/>
                <w:sz w:val="20"/>
                <w:szCs w:val="20"/>
                <w:lang w:eastAsia="pl-PL"/>
              </w:rPr>
              <w:t xml:space="preserve"> </w:t>
            </w:r>
            <w:r w:rsidRPr="00E9443C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TMF 50-29-4 400 kW</w:t>
            </w:r>
          </w:p>
        </w:tc>
      </w:tr>
      <w:tr w:rsidR="00F316B2" w:rsidRPr="00E9443C" w:rsidTr="0022229C">
        <w:tc>
          <w:tcPr>
            <w:tcW w:w="827" w:type="dxa"/>
          </w:tcPr>
          <w:p w:rsidR="00F316B2" w:rsidRPr="00E9443C" w:rsidRDefault="00F316B2" w:rsidP="00E968EC">
            <w:pPr>
              <w:suppressAutoHyphens w:val="0"/>
              <w:contextualSpacing/>
              <w:jc w:val="center"/>
              <w:textAlignment w:val="baseline"/>
              <w:rPr>
                <w:rFonts w:ascii="Calibri" w:hAnsi="Calibri" w:cs="Calibri"/>
                <w:bCs/>
                <w:color w:val="00000A"/>
                <w:sz w:val="20"/>
                <w:szCs w:val="20"/>
                <w:lang w:eastAsia="pl-PL"/>
              </w:rPr>
            </w:pPr>
            <w:r w:rsidRPr="00E9443C">
              <w:rPr>
                <w:rFonts w:ascii="Calibri" w:hAnsi="Calibri" w:cs="Calibri"/>
                <w:bCs/>
                <w:color w:val="00000A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7848" w:type="dxa"/>
          </w:tcPr>
          <w:p w:rsidR="00F316B2" w:rsidRPr="00E9443C" w:rsidRDefault="00F316B2" w:rsidP="00E968EC">
            <w:pPr>
              <w:suppressAutoHyphens w:val="0"/>
              <w:contextualSpacing/>
              <w:textAlignment w:val="baseline"/>
              <w:rPr>
                <w:rFonts w:ascii="Calibri" w:hAnsi="Calibri" w:cs="Calibri"/>
                <w:bCs/>
                <w:color w:val="00000A"/>
                <w:sz w:val="20"/>
                <w:szCs w:val="20"/>
                <w:lang w:eastAsia="pl-PL"/>
              </w:rPr>
            </w:pPr>
            <w:r w:rsidRPr="00E9443C"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>Przezwojenie stojana</w:t>
            </w:r>
          </w:p>
        </w:tc>
      </w:tr>
      <w:tr w:rsidR="00F316B2" w:rsidRPr="00E9443C" w:rsidTr="0022229C">
        <w:tc>
          <w:tcPr>
            <w:tcW w:w="827" w:type="dxa"/>
          </w:tcPr>
          <w:p w:rsidR="00F316B2" w:rsidRPr="00E9443C" w:rsidRDefault="00F316B2" w:rsidP="00E968EC">
            <w:pPr>
              <w:suppressAutoHyphens w:val="0"/>
              <w:contextualSpacing/>
              <w:jc w:val="center"/>
              <w:textAlignment w:val="baseline"/>
              <w:rPr>
                <w:rFonts w:ascii="Calibri" w:hAnsi="Calibri" w:cs="Calibri"/>
                <w:bCs/>
                <w:color w:val="00000A"/>
                <w:sz w:val="20"/>
                <w:szCs w:val="20"/>
                <w:lang w:eastAsia="pl-PL"/>
              </w:rPr>
            </w:pPr>
            <w:r w:rsidRPr="00E9443C">
              <w:rPr>
                <w:rFonts w:ascii="Calibri" w:hAnsi="Calibri" w:cs="Calibri"/>
                <w:bCs/>
                <w:color w:val="00000A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7848" w:type="dxa"/>
          </w:tcPr>
          <w:p w:rsidR="00F316B2" w:rsidRPr="00C665B3" w:rsidRDefault="00F316B2" w:rsidP="00E968EC">
            <w:pPr>
              <w:suppressAutoHyphens w:val="0"/>
              <w:contextualSpacing/>
              <w:textAlignment w:val="baseline"/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</w:pPr>
            <w:r w:rsidRPr="00C665B3"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>Wymiana blach rdzenia stojana (</w:t>
            </w:r>
            <w:proofErr w:type="spellStart"/>
            <w:r w:rsidRPr="00C665B3"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>przepakietowanie</w:t>
            </w:r>
            <w:proofErr w:type="spellEnd"/>
            <w:r w:rsidRPr="00C665B3"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>)</w:t>
            </w:r>
          </w:p>
        </w:tc>
      </w:tr>
      <w:tr w:rsidR="00F316B2" w:rsidRPr="00E9443C" w:rsidTr="0022229C">
        <w:tc>
          <w:tcPr>
            <w:tcW w:w="827" w:type="dxa"/>
          </w:tcPr>
          <w:p w:rsidR="00F316B2" w:rsidRPr="00E9443C" w:rsidRDefault="00D64142" w:rsidP="00E968EC">
            <w:pPr>
              <w:suppressAutoHyphens w:val="0"/>
              <w:contextualSpacing/>
              <w:jc w:val="center"/>
              <w:textAlignment w:val="baseline"/>
              <w:rPr>
                <w:rFonts w:ascii="Calibri" w:hAnsi="Calibri" w:cs="Calibri"/>
                <w:bCs/>
                <w:color w:val="00000A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bCs/>
                <w:color w:val="00000A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7848" w:type="dxa"/>
          </w:tcPr>
          <w:p w:rsidR="00F316B2" w:rsidRPr="00E9443C" w:rsidRDefault="00F316B2" w:rsidP="00E968EC">
            <w:pPr>
              <w:suppressAutoHyphens w:val="0"/>
              <w:contextualSpacing/>
              <w:textAlignment w:val="baseline"/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</w:pPr>
            <w:r w:rsidRPr="00C665B3"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>Regeneracja wirnika</w:t>
            </w:r>
          </w:p>
        </w:tc>
      </w:tr>
      <w:tr w:rsidR="00D64142" w:rsidRPr="00E9443C" w:rsidTr="0022229C">
        <w:tc>
          <w:tcPr>
            <w:tcW w:w="827" w:type="dxa"/>
          </w:tcPr>
          <w:p w:rsidR="00D64142" w:rsidRPr="00E9443C" w:rsidRDefault="00D64142" w:rsidP="00A82421">
            <w:pPr>
              <w:suppressAutoHyphens w:val="0"/>
              <w:contextualSpacing/>
              <w:jc w:val="center"/>
              <w:textAlignment w:val="baseline"/>
              <w:rPr>
                <w:rFonts w:ascii="Calibri" w:hAnsi="Calibri" w:cs="Calibri"/>
                <w:bCs/>
                <w:color w:val="00000A"/>
                <w:sz w:val="20"/>
                <w:szCs w:val="20"/>
                <w:lang w:eastAsia="pl-PL"/>
              </w:rPr>
            </w:pPr>
            <w:r w:rsidRPr="00E9443C">
              <w:rPr>
                <w:rFonts w:ascii="Calibri" w:hAnsi="Calibri" w:cs="Calibri"/>
                <w:bCs/>
                <w:color w:val="00000A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7848" w:type="dxa"/>
          </w:tcPr>
          <w:p w:rsidR="00D64142" w:rsidRPr="00C665B3" w:rsidRDefault="00D64142" w:rsidP="00E968EC">
            <w:pPr>
              <w:suppressAutoHyphens w:val="0"/>
              <w:contextualSpacing/>
              <w:textAlignment w:val="baseline"/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</w:pPr>
            <w:r w:rsidRPr="00E9443C"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>Wymiana wirnika</w:t>
            </w:r>
          </w:p>
        </w:tc>
      </w:tr>
      <w:tr w:rsidR="00D64142" w:rsidRPr="00E9443C" w:rsidTr="0022229C">
        <w:tc>
          <w:tcPr>
            <w:tcW w:w="827" w:type="dxa"/>
          </w:tcPr>
          <w:p w:rsidR="00D64142" w:rsidRPr="00E9443C" w:rsidRDefault="00D64142" w:rsidP="00A82421">
            <w:pPr>
              <w:suppressAutoHyphens w:val="0"/>
              <w:contextualSpacing/>
              <w:jc w:val="center"/>
              <w:textAlignment w:val="baseline"/>
              <w:rPr>
                <w:rFonts w:ascii="Calibri" w:hAnsi="Calibri" w:cs="Calibri"/>
                <w:bCs/>
                <w:color w:val="00000A"/>
                <w:sz w:val="20"/>
                <w:szCs w:val="20"/>
                <w:lang w:eastAsia="pl-PL"/>
              </w:rPr>
            </w:pPr>
            <w:r w:rsidRPr="00E9443C">
              <w:rPr>
                <w:rFonts w:ascii="Calibri" w:hAnsi="Calibri" w:cs="Calibri"/>
                <w:bCs/>
                <w:color w:val="00000A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7848" w:type="dxa"/>
          </w:tcPr>
          <w:p w:rsidR="00D64142" w:rsidRPr="00E9443C" w:rsidRDefault="00D64142" w:rsidP="00E968EC">
            <w:pPr>
              <w:suppressAutoHyphens w:val="0"/>
              <w:contextualSpacing/>
              <w:textAlignment w:val="baseline"/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</w:pPr>
            <w:r w:rsidRPr="00C665B3"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>Wymiana klatki wirnika</w:t>
            </w:r>
          </w:p>
        </w:tc>
      </w:tr>
      <w:tr w:rsidR="00D64142" w:rsidRPr="00E9443C" w:rsidTr="0022229C">
        <w:tc>
          <w:tcPr>
            <w:tcW w:w="827" w:type="dxa"/>
          </w:tcPr>
          <w:p w:rsidR="00D64142" w:rsidRPr="00E9443C" w:rsidRDefault="00D64142" w:rsidP="00A82421">
            <w:pPr>
              <w:suppressAutoHyphens w:val="0"/>
              <w:contextualSpacing/>
              <w:jc w:val="center"/>
              <w:textAlignment w:val="baseline"/>
              <w:rPr>
                <w:rFonts w:ascii="Calibri" w:hAnsi="Calibri" w:cs="Calibri"/>
                <w:bCs/>
                <w:color w:val="00000A"/>
                <w:sz w:val="20"/>
                <w:szCs w:val="20"/>
                <w:lang w:eastAsia="pl-PL"/>
              </w:rPr>
            </w:pPr>
            <w:r w:rsidRPr="00E9443C">
              <w:rPr>
                <w:rFonts w:ascii="Calibri" w:hAnsi="Calibri" w:cs="Calibri"/>
                <w:bCs/>
                <w:color w:val="00000A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7848" w:type="dxa"/>
          </w:tcPr>
          <w:p w:rsidR="00D64142" w:rsidRPr="00C665B3" w:rsidRDefault="00D64142" w:rsidP="00E968EC">
            <w:pPr>
              <w:suppressAutoHyphens w:val="0"/>
              <w:contextualSpacing/>
              <w:textAlignment w:val="baseline"/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</w:pPr>
            <w:r w:rsidRPr="00C665B3"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>Wymiana blach rdzenia wirnika (</w:t>
            </w:r>
            <w:proofErr w:type="spellStart"/>
            <w:r w:rsidRPr="00C665B3"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>przepakietowanie</w:t>
            </w:r>
            <w:proofErr w:type="spellEnd"/>
            <w:r w:rsidRPr="00C665B3"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>)</w:t>
            </w:r>
          </w:p>
        </w:tc>
      </w:tr>
      <w:tr w:rsidR="00D64142" w:rsidRPr="00E9443C" w:rsidTr="0022229C">
        <w:tc>
          <w:tcPr>
            <w:tcW w:w="827" w:type="dxa"/>
          </w:tcPr>
          <w:p w:rsidR="00D64142" w:rsidRPr="00E9443C" w:rsidRDefault="00D64142" w:rsidP="00A82421">
            <w:pPr>
              <w:suppressAutoHyphens w:val="0"/>
              <w:contextualSpacing/>
              <w:jc w:val="center"/>
              <w:textAlignment w:val="baseline"/>
              <w:rPr>
                <w:rFonts w:ascii="Calibri" w:hAnsi="Calibri" w:cs="Calibri"/>
                <w:bCs/>
                <w:color w:val="00000A"/>
                <w:sz w:val="20"/>
                <w:szCs w:val="20"/>
                <w:lang w:eastAsia="pl-PL"/>
              </w:rPr>
            </w:pPr>
            <w:r w:rsidRPr="00E9443C">
              <w:rPr>
                <w:rFonts w:ascii="Calibri" w:hAnsi="Calibri" w:cs="Calibri"/>
                <w:bCs/>
                <w:color w:val="00000A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7848" w:type="dxa"/>
          </w:tcPr>
          <w:p w:rsidR="00D64142" w:rsidRPr="00C665B3" w:rsidRDefault="00D64142" w:rsidP="00E968EC">
            <w:pPr>
              <w:suppressAutoHyphens w:val="0"/>
              <w:contextualSpacing/>
              <w:textAlignment w:val="baseline"/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</w:pPr>
            <w:r w:rsidRPr="00C665B3"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>Wymiana wału wirnika</w:t>
            </w:r>
          </w:p>
        </w:tc>
      </w:tr>
      <w:tr w:rsidR="00D64142" w:rsidRPr="00E9443C" w:rsidTr="0022229C">
        <w:tc>
          <w:tcPr>
            <w:tcW w:w="827" w:type="dxa"/>
          </w:tcPr>
          <w:p w:rsidR="00D64142" w:rsidRPr="00E9443C" w:rsidRDefault="00D64142" w:rsidP="00A82421">
            <w:pPr>
              <w:suppressAutoHyphens w:val="0"/>
              <w:contextualSpacing/>
              <w:jc w:val="center"/>
              <w:textAlignment w:val="baseline"/>
              <w:rPr>
                <w:rFonts w:ascii="Calibri" w:hAnsi="Calibri" w:cs="Calibri"/>
                <w:bCs/>
                <w:color w:val="00000A"/>
                <w:sz w:val="20"/>
                <w:szCs w:val="20"/>
                <w:lang w:eastAsia="pl-PL"/>
              </w:rPr>
            </w:pPr>
            <w:r w:rsidRPr="00E9443C">
              <w:rPr>
                <w:rFonts w:ascii="Calibri" w:hAnsi="Calibri" w:cs="Calibri"/>
                <w:bCs/>
                <w:color w:val="00000A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7848" w:type="dxa"/>
          </w:tcPr>
          <w:p w:rsidR="00D64142" w:rsidRPr="00C665B3" w:rsidRDefault="00D64142" w:rsidP="00E968EC">
            <w:pPr>
              <w:suppressAutoHyphens w:val="0"/>
              <w:contextualSpacing/>
              <w:textAlignment w:val="baseline"/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</w:pPr>
            <w:r w:rsidRPr="00E9443C"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>Wymiana czujnika temperatury.</w:t>
            </w:r>
          </w:p>
        </w:tc>
      </w:tr>
      <w:tr w:rsidR="00D64142" w:rsidRPr="00E9443C" w:rsidTr="0022229C">
        <w:tc>
          <w:tcPr>
            <w:tcW w:w="827" w:type="dxa"/>
          </w:tcPr>
          <w:p w:rsidR="00D64142" w:rsidRPr="00E9443C" w:rsidRDefault="00D64142" w:rsidP="00A82421">
            <w:pPr>
              <w:suppressAutoHyphens w:val="0"/>
              <w:contextualSpacing/>
              <w:jc w:val="center"/>
              <w:textAlignment w:val="baseline"/>
              <w:rPr>
                <w:rFonts w:ascii="Calibri" w:hAnsi="Calibri" w:cs="Calibri"/>
                <w:bCs/>
                <w:color w:val="00000A"/>
                <w:sz w:val="20"/>
                <w:szCs w:val="20"/>
                <w:lang w:eastAsia="pl-PL"/>
              </w:rPr>
            </w:pPr>
            <w:r w:rsidRPr="00E9443C">
              <w:rPr>
                <w:rFonts w:ascii="Calibri" w:hAnsi="Calibri" w:cs="Calibri"/>
                <w:bCs/>
                <w:color w:val="00000A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7848" w:type="dxa"/>
          </w:tcPr>
          <w:p w:rsidR="00D64142" w:rsidRPr="00C665B3" w:rsidRDefault="00D64142" w:rsidP="00E968EC">
            <w:pPr>
              <w:suppressAutoHyphens w:val="0"/>
              <w:contextualSpacing/>
              <w:textAlignment w:val="baseline"/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</w:pPr>
            <w:r w:rsidRPr="00E9443C"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>Wymiana czujnika obrotów.</w:t>
            </w:r>
          </w:p>
        </w:tc>
      </w:tr>
      <w:tr w:rsidR="00D64142" w:rsidRPr="00E9443C" w:rsidTr="0022229C">
        <w:tc>
          <w:tcPr>
            <w:tcW w:w="827" w:type="dxa"/>
          </w:tcPr>
          <w:p w:rsidR="00D64142" w:rsidRPr="00E9443C" w:rsidRDefault="00D64142" w:rsidP="00A82421">
            <w:pPr>
              <w:suppressAutoHyphens w:val="0"/>
              <w:contextualSpacing/>
              <w:jc w:val="center"/>
              <w:textAlignment w:val="baseline"/>
              <w:rPr>
                <w:rFonts w:ascii="Calibri" w:hAnsi="Calibri" w:cs="Calibri"/>
                <w:bCs/>
                <w:color w:val="00000A"/>
                <w:sz w:val="20"/>
                <w:szCs w:val="20"/>
                <w:lang w:eastAsia="pl-PL"/>
              </w:rPr>
            </w:pPr>
            <w:r w:rsidRPr="00E9443C">
              <w:rPr>
                <w:rFonts w:ascii="Calibri" w:hAnsi="Calibri" w:cs="Calibri"/>
                <w:bCs/>
                <w:color w:val="00000A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7848" w:type="dxa"/>
          </w:tcPr>
          <w:p w:rsidR="00D64142" w:rsidRPr="00C665B3" w:rsidRDefault="00D64142" w:rsidP="00E968EC">
            <w:pPr>
              <w:suppressAutoHyphens w:val="0"/>
              <w:contextualSpacing/>
              <w:textAlignment w:val="baseline"/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</w:pPr>
            <w:r w:rsidRPr="00E9443C"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>Wymiana gniazd/złącz czujników</w:t>
            </w:r>
          </w:p>
        </w:tc>
      </w:tr>
      <w:tr w:rsidR="00D64142" w:rsidRPr="00E9443C" w:rsidTr="0022229C">
        <w:tc>
          <w:tcPr>
            <w:tcW w:w="827" w:type="dxa"/>
          </w:tcPr>
          <w:p w:rsidR="00D64142" w:rsidRPr="00E9443C" w:rsidRDefault="00D64142" w:rsidP="00A82421">
            <w:pPr>
              <w:suppressAutoHyphens w:val="0"/>
              <w:contextualSpacing/>
              <w:jc w:val="center"/>
              <w:textAlignment w:val="baseline"/>
              <w:rPr>
                <w:rFonts w:ascii="Calibri" w:hAnsi="Calibri" w:cs="Calibri"/>
                <w:bCs/>
                <w:color w:val="00000A"/>
                <w:sz w:val="20"/>
                <w:szCs w:val="20"/>
                <w:lang w:eastAsia="pl-PL"/>
              </w:rPr>
            </w:pPr>
            <w:r w:rsidRPr="00E9443C">
              <w:rPr>
                <w:rFonts w:ascii="Calibri" w:hAnsi="Calibri" w:cs="Calibri"/>
                <w:bCs/>
                <w:color w:val="00000A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7848" w:type="dxa"/>
          </w:tcPr>
          <w:p w:rsidR="00D64142" w:rsidRPr="00C665B3" w:rsidRDefault="00D64142" w:rsidP="00E968EC">
            <w:pPr>
              <w:suppressAutoHyphens w:val="0"/>
              <w:contextualSpacing/>
              <w:textAlignment w:val="baseline"/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</w:pPr>
            <w:r w:rsidRPr="00E9443C"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>Wymiana tarczy/ zębatki do pomiaru obrotów maszyny</w:t>
            </w:r>
          </w:p>
        </w:tc>
      </w:tr>
      <w:tr w:rsidR="00D64142" w:rsidRPr="00E9443C" w:rsidTr="0022229C">
        <w:tc>
          <w:tcPr>
            <w:tcW w:w="827" w:type="dxa"/>
          </w:tcPr>
          <w:p w:rsidR="00D64142" w:rsidRPr="00E9443C" w:rsidRDefault="00D64142" w:rsidP="00A82421">
            <w:pPr>
              <w:suppressAutoHyphens w:val="0"/>
              <w:contextualSpacing/>
              <w:jc w:val="center"/>
              <w:textAlignment w:val="baseline"/>
              <w:rPr>
                <w:rFonts w:ascii="Calibri" w:hAnsi="Calibri" w:cs="Calibri"/>
                <w:bCs/>
                <w:color w:val="00000A"/>
                <w:sz w:val="20"/>
                <w:szCs w:val="20"/>
                <w:lang w:eastAsia="pl-PL"/>
              </w:rPr>
            </w:pPr>
            <w:r w:rsidRPr="00E9443C">
              <w:rPr>
                <w:rFonts w:ascii="Calibri" w:hAnsi="Calibri" w:cs="Calibri"/>
                <w:bCs/>
                <w:color w:val="00000A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7848" w:type="dxa"/>
          </w:tcPr>
          <w:p w:rsidR="00D64142" w:rsidRPr="00E9443C" w:rsidRDefault="00D64142" w:rsidP="00E968EC">
            <w:pPr>
              <w:suppressAutoHyphens w:val="0"/>
              <w:contextualSpacing/>
              <w:textAlignment w:val="baseline"/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</w:pPr>
            <w:r w:rsidRPr="00C665B3"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>Regeneracja tarczy łożyskowej str. NDE</w:t>
            </w:r>
          </w:p>
        </w:tc>
      </w:tr>
      <w:tr w:rsidR="00D64142" w:rsidRPr="00E9443C" w:rsidTr="0022229C">
        <w:tc>
          <w:tcPr>
            <w:tcW w:w="827" w:type="dxa"/>
          </w:tcPr>
          <w:p w:rsidR="00D64142" w:rsidRPr="00E9443C" w:rsidRDefault="00D64142" w:rsidP="00A82421">
            <w:pPr>
              <w:suppressAutoHyphens w:val="0"/>
              <w:contextualSpacing/>
              <w:jc w:val="center"/>
              <w:textAlignment w:val="baseline"/>
              <w:rPr>
                <w:rFonts w:ascii="Calibri" w:hAnsi="Calibri" w:cs="Calibri"/>
                <w:bCs/>
                <w:color w:val="00000A"/>
                <w:sz w:val="20"/>
                <w:szCs w:val="20"/>
                <w:lang w:eastAsia="pl-PL"/>
              </w:rPr>
            </w:pPr>
            <w:r w:rsidRPr="00E9443C">
              <w:rPr>
                <w:rFonts w:ascii="Calibri" w:hAnsi="Calibri" w:cs="Calibri"/>
                <w:bCs/>
                <w:color w:val="00000A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7848" w:type="dxa"/>
          </w:tcPr>
          <w:p w:rsidR="00D64142" w:rsidRPr="00E9443C" w:rsidRDefault="00D64142" w:rsidP="00E968EC">
            <w:pPr>
              <w:suppressAutoHyphens w:val="0"/>
              <w:contextualSpacing/>
              <w:textAlignment w:val="baseline"/>
              <w:rPr>
                <w:rFonts w:ascii="Calibri" w:hAnsi="Calibri" w:cs="Calibri"/>
                <w:bCs/>
                <w:color w:val="00000A"/>
                <w:sz w:val="20"/>
                <w:szCs w:val="20"/>
                <w:lang w:eastAsia="pl-PL"/>
              </w:rPr>
            </w:pPr>
            <w:r w:rsidRPr="00E9443C"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>Wymiana tarczy łożyskowej NDE.</w:t>
            </w:r>
          </w:p>
        </w:tc>
      </w:tr>
      <w:tr w:rsidR="00D64142" w:rsidRPr="00E9443C" w:rsidTr="0022229C">
        <w:tc>
          <w:tcPr>
            <w:tcW w:w="827" w:type="dxa"/>
          </w:tcPr>
          <w:p w:rsidR="00D64142" w:rsidRPr="00E9443C" w:rsidRDefault="00D64142" w:rsidP="00A82421">
            <w:pPr>
              <w:suppressAutoHyphens w:val="0"/>
              <w:contextualSpacing/>
              <w:jc w:val="center"/>
              <w:textAlignment w:val="baseline"/>
              <w:rPr>
                <w:rFonts w:ascii="Calibri" w:hAnsi="Calibri" w:cs="Calibri"/>
                <w:bCs/>
                <w:color w:val="00000A"/>
                <w:sz w:val="20"/>
                <w:szCs w:val="20"/>
                <w:lang w:eastAsia="pl-PL"/>
              </w:rPr>
            </w:pPr>
            <w:r w:rsidRPr="00E9443C">
              <w:rPr>
                <w:rFonts w:ascii="Calibri" w:hAnsi="Calibri" w:cs="Calibri"/>
                <w:bCs/>
                <w:color w:val="00000A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7848" w:type="dxa"/>
          </w:tcPr>
          <w:p w:rsidR="00D64142" w:rsidRPr="00E9443C" w:rsidRDefault="00D64142" w:rsidP="00E968EC">
            <w:pPr>
              <w:suppressAutoHyphens w:val="0"/>
              <w:contextualSpacing/>
              <w:textAlignment w:val="baseline"/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</w:pPr>
            <w:r w:rsidRPr="00E9443C"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>Wymiana półsprzęgła.</w:t>
            </w:r>
          </w:p>
        </w:tc>
      </w:tr>
      <w:tr w:rsidR="00D64142" w:rsidRPr="00E9443C" w:rsidTr="0022229C">
        <w:tc>
          <w:tcPr>
            <w:tcW w:w="827" w:type="dxa"/>
          </w:tcPr>
          <w:p w:rsidR="00D64142" w:rsidRPr="00E9443C" w:rsidRDefault="00D64142" w:rsidP="00A82421">
            <w:pPr>
              <w:suppressAutoHyphens w:val="0"/>
              <w:contextualSpacing/>
              <w:jc w:val="center"/>
              <w:textAlignment w:val="baseline"/>
              <w:rPr>
                <w:rFonts w:ascii="Calibri" w:hAnsi="Calibri" w:cs="Calibri"/>
                <w:bCs/>
                <w:color w:val="00000A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bCs/>
                <w:color w:val="00000A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7848" w:type="dxa"/>
          </w:tcPr>
          <w:p w:rsidR="00D64142" w:rsidRPr="00E9443C" w:rsidRDefault="00D64142" w:rsidP="00E968EC">
            <w:pPr>
              <w:suppressAutoHyphens w:val="0"/>
              <w:contextualSpacing/>
              <w:textAlignment w:val="baseline"/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</w:pPr>
            <w:r w:rsidRPr="00E9443C"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>Wymiana haka zabezpieczającego.</w:t>
            </w:r>
          </w:p>
        </w:tc>
      </w:tr>
      <w:tr w:rsidR="00D64142" w:rsidRPr="00E9443C" w:rsidTr="0022229C">
        <w:tc>
          <w:tcPr>
            <w:tcW w:w="827" w:type="dxa"/>
          </w:tcPr>
          <w:p w:rsidR="00D64142" w:rsidRPr="00E9443C" w:rsidRDefault="00D64142" w:rsidP="00A82421">
            <w:pPr>
              <w:suppressAutoHyphens w:val="0"/>
              <w:contextualSpacing/>
              <w:jc w:val="center"/>
              <w:textAlignment w:val="baseline"/>
              <w:rPr>
                <w:rFonts w:ascii="Calibri" w:hAnsi="Calibri" w:cs="Calibri"/>
                <w:bCs/>
                <w:color w:val="00000A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bCs/>
                <w:color w:val="00000A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7848" w:type="dxa"/>
          </w:tcPr>
          <w:p w:rsidR="00D64142" w:rsidRPr="00E9443C" w:rsidRDefault="00D64142" w:rsidP="00E968EC">
            <w:pPr>
              <w:suppressAutoHyphens w:val="0"/>
              <w:contextualSpacing/>
              <w:textAlignment w:val="baseline"/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</w:pPr>
            <w:r w:rsidRPr="00E9443C"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>Wymiana kołnierza przekładni.</w:t>
            </w:r>
          </w:p>
        </w:tc>
      </w:tr>
      <w:tr w:rsidR="00D64142" w:rsidRPr="00E9443C" w:rsidTr="0022229C">
        <w:tc>
          <w:tcPr>
            <w:tcW w:w="827" w:type="dxa"/>
          </w:tcPr>
          <w:p w:rsidR="00D64142" w:rsidRPr="00E9443C" w:rsidRDefault="00D64142" w:rsidP="00A82421">
            <w:pPr>
              <w:suppressAutoHyphens w:val="0"/>
              <w:contextualSpacing/>
              <w:jc w:val="center"/>
              <w:textAlignment w:val="baseline"/>
              <w:rPr>
                <w:rFonts w:ascii="Calibri" w:hAnsi="Calibri" w:cs="Calibri"/>
                <w:bCs/>
                <w:color w:val="00000A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bCs/>
                <w:color w:val="00000A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7848" w:type="dxa"/>
          </w:tcPr>
          <w:p w:rsidR="00D64142" w:rsidRPr="00E9443C" w:rsidRDefault="00D64142" w:rsidP="00E968EC">
            <w:pPr>
              <w:suppressAutoHyphens w:val="0"/>
              <w:contextualSpacing/>
              <w:textAlignment w:val="baseline"/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</w:pPr>
            <w:r w:rsidRPr="00E9443C"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>Wymiana pierścienia wsporczego.</w:t>
            </w:r>
          </w:p>
        </w:tc>
      </w:tr>
      <w:tr w:rsidR="00D64142" w:rsidRPr="00E9443C" w:rsidTr="0022229C">
        <w:tc>
          <w:tcPr>
            <w:tcW w:w="827" w:type="dxa"/>
          </w:tcPr>
          <w:p w:rsidR="00D64142" w:rsidRPr="00E9443C" w:rsidRDefault="00D64142" w:rsidP="00A82421">
            <w:pPr>
              <w:suppressAutoHyphens w:val="0"/>
              <w:contextualSpacing/>
              <w:jc w:val="center"/>
              <w:textAlignment w:val="baseline"/>
              <w:rPr>
                <w:rFonts w:ascii="Calibri" w:hAnsi="Calibri" w:cs="Calibri"/>
                <w:bCs/>
                <w:color w:val="00000A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bCs/>
                <w:color w:val="00000A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7848" w:type="dxa"/>
          </w:tcPr>
          <w:p w:rsidR="00D64142" w:rsidRPr="00E9443C" w:rsidRDefault="00D64142" w:rsidP="00E968EC">
            <w:pPr>
              <w:suppressAutoHyphens w:val="0"/>
              <w:contextualSpacing/>
              <w:textAlignment w:val="baseline"/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</w:pPr>
            <w:r w:rsidRPr="00E9443C"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>Wymiana osłon (</w:t>
            </w:r>
            <w:proofErr w:type="spellStart"/>
            <w:r w:rsidRPr="00E9443C"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>peszli</w:t>
            </w:r>
            <w:proofErr w:type="spellEnd"/>
            <w:r w:rsidRPr="00E9443C"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>) przewodów zasilających.</w:t>
            </w:r>
          </w:p>
        </w:tc>
      </w:tr>
      <w:tr w:rsidR="00D64142" w:rsidRPr="00E9443C" w:rsidTr="0022229C">
        <w:tc>
          <w:tcPr>
            <w:tcW w:w="827" w:type="dxa"/>
          </w:tcPr>
          <w:p w:rsidR="00D64142" w:rsidRPr="00E9443C" w:rsidRDefault="00D64142" w:rsidP="00A82421">
            <w:pPr>
              <w:suppressAutoHyphens w:val="0"/>
              <w:contextualSpacing/>
              <w:jc w:val="center"/>
              <w:textAlignment w:val="baseline"/>
              <w:rPr>
                <w:rFonts w:ascii="Calibri" w:hAnsi="Calibri" w:cs="Calibri"/>
                <w:bCs/>
                <w:color w:val="00000A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bCs/>
                <w:color w:val="00000A"/>
                <w:sz w:val="20"/>
                <w:szCs w:val="20"/>
                <w:lang w:eastAsia="pl-PL"/>
              </w:rPr>
              <w:t>19</w:t>
            </w:r>
          </w:p>
        </w:tc>
        <w:tc>
          <w:tcPr>
            <w:tcW w:w="7848" w:type="dxa"/>
          </w:tcPr>
          <w:p w:rsidR="00D64142" w:rsidRPr="00E9443C" w:rsidRDefault="00D64142" w:rsidP="00E968EC">
            <w:pPr>
              <w:suppressAutoHyphens w:val="0"/>
              <w:contextualSpacing/>
              <w:textAlignment w:val="baseline"/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>Wymiana płytki zacisków</w:t>
            </w:r>
          </w:p>
        </w:tc>
      </w:tr>
      <w:tr w:rsidR="00D64142" w:rsidRPr="00E9443C" w:rsidTr="0022229C">
        <w:tc>
          <w:tcPr>
            <w:tcW w:w="827" w:type="dxa"/>
          </w:tcPr>
          <w:p w:rsidR="00D64142" w:rsidRDefault="00D64142" w:rsidP="00E968EC">
            <w:pPr>
              <w:suppressAutoHyphens w:val="0"/>
              <w:contextualSpacing/>
              <w:jc w:val="center"/>
              <w:textAlignment w:val="baseline"/>
              <w:rPr>
                <w:rFonts w:ascii="Calibri" w:hAnsi="Calibri" w:cs="Calibri"/>
                <w:bCs/>
                <w:color w:val="00000A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bCs/>
                <w:color w:val="00000A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7848" w:type="dxa"/>
          </w:tcPr>
          <w:p w:rsidR="00D64142" w:rsidRDefault="00D64142" w:rsidP="00E968EC">
            <w:pPr>
              <w:suppressAutoHyphens w:val="0"/>
              <w:contextualSpacing/>
              <w:textAlignment w:val="baseline"/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>Wymiana tabliczki znamionowej</w:t>
            </w:r>
          </w:p>
        </w:tc>
      </w:tr>
    </w:tbl>
    <w:p w:rsidR="00F316B2" w:rsidRPr="00E9443C" w:rsidRDefault="00F316B2" w:rsidP="00F316B2">
      <w:pPr>
        <w:suppressAutoHyphens w:val="0"/>
        <w:spacing w:after="160"/>
        <w:contextualSpacing/>
        <w:textAlignment w:val="baseline"/>
        <w:rPr>
          <w:rFonts w:ascii="Calibri" w:hAnsi="Calibri" w:cs="Calibri"/>
          <w:b/>
          <w:bCs/>
          <w:color w:val="000000"/>
          <w:sz w:val="20"/>
          <w:szCs w:val="20"/>
          <w:lang w:eastAsia="pl-PL"/>
        </w:rPr>
      </w:pPr>
      <w:r w:rsidRPr="00E9443C">
        <w:rPr>
          <w:rFonts w:ascii="Calibri" w:hAnsi="Calibri" w:cs="Calibri"/>
          <w:b/>
          <w:bCs/>
          <w:color w:val="000000"/>
          <w:sz w:val="20"/>
          <w:szCs w:val="20"/>
          <w:lang w:eastAsia="pl-PL"/>
        </w:rPr>
        <w:br w:type="textWrapping" w:clear="all"/>
      </w:r>
    </w:p>
    <w:p w:rsidR="00F316B2" w:rsidRPr="00E9443C" w:rsidRDefault="00F316B2" w:rsidP="00F316B2">
      <w:pPr>
        <w:numPr>
          <w:ilvl w:val="0"/>
          <w:numId w:val="10"/>
        </w:numPr>
        <w:suppressAutoHyphens w:val="0"/>
        <w:spacing w:after="160" w:line="276" w:lineRule="auto"/>
        <w:contextualSpacing/>
        <w:textAlignment w:val="baseline"/>
        <w:rPr>
          <w:rFonts w:ascii="Calibri" w:hAnsi="Calibri" w:cs="Calibri"/>
          <w:b/>
          <w:bCs/>
          <w:color w:val="000000"/>
          <w:sz w:val="20"/>
          <w:szCs w:val="20"/>
          <w:lang w:eastAsia="pl-PL"/>
        </w:rPr>
      </w:pPr>
      <w:r w:rsidRPr="00E9443C">
        <w:rPr>
          <w:rFonts w:ascii="Calibri" w:hAnsi="Calibri" w:cs="Calibri"/>
          <w:b/>
          <w:bCs/>
          <w:color w:val="000000"/>
          <w:sz w:val="20"/>
          <w:szCs w:val="20"/>
          <w:lang w:eastAsia="pl-PL"/>
        </w:rPr>
        <w:t>Wymagania  dotyczące przedmiotu zamówienia.</w:t>
      </w:r>
    </w:p>
    <w:p w:rsidR="00F316B2" w:rsidRPr="00E9443C" w:rsidRDefault="00F316B2" w:rsidP="00F316B2">
      <w:pPr>
        <w:numPr>
          <w:ilvl w:val="1"/>
          <w:numId w:val="10"/>
        </w:numPr>
        <w:suppressAutoHyphens w:val="0"/>
        <w:spacing w:before="120" w:after="200" w:line="276" w:lineRule="auto"/>
        <w:ind w:left="567" w:hanging="567"/>
        <w:contextualSpacing/>
        <w:jc w:val="both"/>
        <w:textAlignment w:val="baseline"/>
        <w:rPr>
          <w:rFonts w:ascii="Calibri" w:hAnsi="Calibri" w:cs="Cambria"/>
          <w:sz w:val="20"/>
          <w:szCs w:val="20"/>
          <w:lang w:eastAsia="pl-PL"/>
        </w:rPr>
      </w:pPr>
      <w:r w:rsidRPr="00E9443C">
        <w:rPr>
          <w:rFonts w:ascii="Calibri" w:eastAsia="Calibri" w:hAnsi="Calibri" w:cs="Cambria"/>
          <w:sz w:val="20"/>
          <w:szCs w:val="20"/>
          <w:lang w:eastAsia="pl-PL"/>
        </w:rPr>
        <w:t xml:space="preserve">Wykonawca gwarantuje wysoką jakość dostarczanego przedmiotu zamówienia po wykonanym przeglądzie lub naprawie, zgodnie z odpowiednimi normami polskimi oraz obowiązującymi </w:t>
      </w:r>
      <w:r w:rsidRPr="00E9443C">
        <w:rPr>
          <w:rFonts w:ascii="Calibri" w:eastAsia="Calibri" w:hAnsi="Calibri" w:cs="Cambria"/>
          <w:sz w:val="20"/>
          <w:szCs w:val="20"/>
          <w:lang w:eastAsia="pl-PL"/>
        </w:rPr>
        <w:br/>
        <w:t>u Zamawiającego przepisami.</w:t>
      </w:r>
    </w:p>
    <w:p w:rsidR="00F316B2" w:rsidRPr="00E9443C" w:rsidRDefault="00F316B2" w:rsidP="00F316B2">
      <w:pPr>
        <w:numPr>
          <w:ilvl w:val="1"/>
          <w:numId w:val="10"/>
        </w:numPr>
        <w:suppressAutoHyphens w:val="0"/>
        <w:spacing w:after="200" w:line="276" w:lineRule="auto"/>
        <w:ind w:left="567" w:hanging="567"/>
        <w:contextualSpacing/>
        <w:jc w:val="both"/>
        <w:textAlignment w:val="baseline"/>
        <w:rPr>
          <w:rFonts w:ascii="Calibri" w:hAnsi="Calibri" w:cs="Calibri"/>
          <w:color w:val="000000"/>
          <w:sz w:val="20"/>
          <w:szCs w:val="20"/>
          <w:lang w:eastAsia="pl-PL"/>
        </w:rPr>
      </w:pPr>
      <w:r w:rsidRPr="00E9443C">
        <w:rPr>
          <w:rFonts w:ascii="Calibri" w:hAnsi="Calibri" w:cs="Calibri"/>
          <w:color w:val="000000"/>
          <w:sz w:val="20"/>
          <w:szCs w:val="20"/>
          <w:lang w:eastAsia="pl-PL"/>
        </w:rPr>
        <w:t>Ocena stanu technicznego przedmiotu zamówienia (weryfikacja) oraz ustalenie zakresu naprawy odbywać się będzie komisyjnie. Termin komisji ustala Wykonawca i powiadamia Zamawiającego na 3 dni przed ustalonym terminem. W skład komisji wchodzi Komisarz Odbiorczy, przedstawiciel Wykonawcy oraz Zamawiającego. Z komisyjnego ustalenia zakresu naprawy sporządzony zostanie protokół weryfikacj</w:t>
      </w:r>
      <w:r w:rsidR="000C6B07">
        <w:rPr>
          <w:rFonts w:ascii="Calibri" w:hAnsi="Calibri" w:cs="Calibri"/>
          <w:color w:val="000000"/>
          <w:sz w:val="20"/>
          <w:szCs w:val="20"/>
          <w:lang w:eastAsia="pl-PL"/>
        </w:rPr>
        <w:t>i stanu technicznego</w:t>
      </w:r>
      <w:r w:rsidRPr="00E9443C">
        <w:rPr>
          <w:rFonts w:ascii="Calibri" w:hAnsi="Calibri" w:cs="Calibri"/>
          <w:color w:val="000000"/>
          <w:sz w:val="20"/>
          <w:szCs w:val="20"/>
          <w:lang w:eastAsia="pl-PL"/>
        </w:rPr>
        <w:t>. Protokół ten powinien zawierać: </w:t>
      </w:r>
    </w:p>
    <w:p w:rsidR="00F316B2" w:rsidRPr="00E9443C" w:rsidRDefault="00F316B2" w:rsidP="00F316B2">
      <w:pPr>
        <w:suppressAutoHyphens w:val="0"/>
        <w:ind w:left="426"/>
        <w:jc w:val="both"/>
        <w:rPr>
          <w:sz w:val="24"/>
          <w:szCs w:val="24"/>
          <w:lang w:eastAsia="pl-PL"/>
        </w:rPr>
      </w:pPr>
      <w:r w:rsidRPr="00E9443C">
        <w:rPr>
          <w:rFonts w:ascii="Calibri" w:hAnsi="Calibri" w:cs="Calibri"/>
          <w:color w:val="000000"/>
          <w:sz w:val="20"/>
          <w:szCs w:val="20"/>
          <w:lang w:eastAsia="pl-PL"/>
        </w:rPr>
        <w:t>a) numer umowy,</w:t>
      </w:r>
    </w:p>
    <w:p w:rsidR="00F316B2" w:rsidRPr="00E9443C" w:rsidRDefault="00F316B2" w:rsidP="00F316B2">
      <w:pPr>
        <w:suppressAutoHyphens w:val="0"/>
        <w:ind w:left="426"/>
        <w:jc w:val="both"/>
        <w:rPr>
          <w:sz w:val="24"/>
          <w:szCs w:val="24"/>
          <w:lang w:eastAsia="pl-PL"/>
        </w:rPr>
      </w:pPr>
      <w:r w:rsidRPr="00E9443C">
        <w:rPr>
          <w:rFonts w:ascii="Calibri" w:hAnsi="Calibri" w:cs="Calibri"/>
          <w:color w:val="000000"/>
          <w:sz w:val="20"/>
          <w:szCs w:val="20"/>
          <w:lang w:eastAsia="pl-PL"/>
        </w:rPr>
        <w:t>b) typ i numer urządzenia,</w:t>
      </w:r>
    </w:p>
    <w:p w:rsidR="00F316B2" w:rsidRPr="00E9443C" w:rsidRDefault="00F316B2" w:rsidP="00F316B2">
      <w:pPr>
        <w:suppressAutoHyphens w:val="0"/>
        <w:ind w:left="426"/>
        <w:jc w:val="both"/>
        <w:rPr>
          <w:rFonts w:ascii="Calibri" w:hAnsi="Calibri" w:cs="Calibri"/>
          <w:color w:val="000000"/>
          <w:sz w:val="20"/>
          <w:szCs w:val="20"/>
          <w:lang w:eastAsia="pl-PL"/>
        </w:rPr>
      </w:pPr>
      <w:r w:rsidRPr="00E9443C">
        <w:rPr>
          <w:rFonts w:ascii="Calibri" w:hAnsi="Calibri" w:cs="Calibri"/>
          <w:color w:val="000000"/>
          <w:sz w:val="20"/>
          <w:szCs w:val="20"/>
          <w:lang w:eastAsia="pl-PL"/>
        </w:rPr>
        <w:t>c) wykaz czynności do wykonania.</w:t>
      </w:r>
    </w:p>
    <w:p w:rsidR="00F316B2" w:rsidRPr="00E9443C" w:rsidRDefault="00F316B2" w:rsidP="00F316B2">
      <w:pPr>
        <w:suppressAutoHyphens w:val="0"/>
        <w:ind w:left="426"/>
        <w:jc w:val="both"/>
        <w:rPr>
          <w:sz w:val="24"/>
          <w:szCs w:val="24"/>
          <w:lang w:eastAsia="pl-PL"/>
        </w:rPr>
      </w:pPr>
      <w:r w:rsidRPr="00E9443C">
        <w:rPr>
          <w:rFonts w:ascii="Calibri" w:hAnsi="Calibri" w:cs="Calibri"/>
          <w:color w:val="000000"/>
          <w:sz w:val="20"/>
          <w:szCs w:val="20"/>
          <w:lang w:eastAsia="pl-PL"/>
        </w:rPr>
        <w:t xml:space="preserve">d) </w:t>
      </w:r>
      <w:r w:rsidRPr="00E9443C">
        <w:rPr>
          <w:rFonts w:ascii="Calibri" w:hAnsi="Calibri" w:cs="Calibri"/>
          <w:b/>
          <w:color w:val="000000"/>
          <w:sz w:val="20"/>
          <w:szCs w:val="20"/>
          <w:lang w:eastAsia="pl-PL"/>
        </w:rPr>
        <w:t>dokumentacja zdjęciowa uszkodzeń.</w:t>
      </w:r>
    </w:p>
    <w:p w:rsidR="00F316B2" w:rsidRPr="00E9443C" w:rsidRDefault="00F316B2" w:rsidP="00F316B2">
      <w:pPr>
        <w:suppressAutoHyphens w:val="0"/>
        <w:ind w:left="426"/>
        <w:jc w:val="both"/>
        <w:rPr>
          <w:sz w:val="24"/>
          <w:szCs w:val="24"/>
          <w:lang w:eastAsia="pl-PL"/>
        </w:rPr>
      </w:pPr>
      <w:r w:rsidRPr="00E9443C">
        <w:rPr>
          <w:rFonts w:ascii="Calibri" w:hAnsi="Calibri" w:cs="Calibri"/>
          <w:color w:val="000000"/>
          <w:sz w:val="20"/>
          <w:szCs w:val="20"/>
          <w:lang w:eastAsia="pl-PL"/>
        </w:rPr>
        <w:t>Wzór protokołu według załączników zamieszczonych w Umowie.</w:t>
      </w:r>
    </w:p>
    <w:p w:rsidR="00F316B2" w:rsidRDefault="00F316B2" w:rsidP="00F316B2">
      <w:pPr>
        <w:numPr>
          <w:ilvl w:val="1"/>
          <w:numId w:val="16"/>
        </w:numPr>
        <w:suppressAutoHyphens w:val="0"/>
        <w:spacing w:after="200" w:line="276" w:lineRule="auto"/>
        <w:ind w:left="567" w:hanging="567"/>
        <w:contextualSpacing/>
        <w:jc w:val="both"/>
        <w:textAlignment w:val="baseline"/>
        <w:rPr>
          <w:rFonts w:ascii="Calibri" w:hAnsi="Calibri" w:cs="Calibri"/>
          <w:color w:val="000000"/>
          <w:sz w:val="20"/>
          <w:szCs w:val="20"/>
          <w:lang w:eastAsia="pl-PL"/>
        </w:rPr>
      </w:pPr>
      <w:r w:rsidRPr="00E9443C">
        <w:rPr>
          <w:rFonts w:ascii="Calibri" w:hAnsi="Calibri" w:cs="Calibri"/>
          <w:color w:val="000000"/>
          <w:sz w:val="20"/>
          <w:szCs w:val="20"/>
          <w:lang w:eastAsia="pl-PL"/>
        </w:rPr>
        <w:lastRenderedPageBreak/>
        <w:t xml:space="preserve">Sporządzenie raportu z  wykonanych testów i pomiarów silnika z załączeniem wyników wygenerowanych przez miernik/ tester lub analizator. W raporcie muszą być również podane typy </w:t>
      </w:r>
      <w:r w:rsidRPr="00E9443C">
        <w:rPr>
          <w:rFonts w:ascii="Calibri" w:hAnsi="Calibri" w:cs="Calibri"/>
          <w:color w:val="000000"/>
          <w:sz w:val="20"/>
          <w:szCs w:val="20"/>
          <w:lang w:eastAsia="pl-PL"/>
        </w:rPr>
        <w:br/>
        <w:t>i numery użytych przyrządów pomiarowych. Wykonanie odpowiednich prób przewidzianych dla tego typu silnika. </w:t>
      </w:r>
    </w:p>
    <w:p w:rsidR="00F316B2" w:rsidRPr="00C03416" w:rsidRDefault="00F316B2" w:rsidP="00F316B2">
      <w:pPr>
        <w:pStyle w:val="Akapitzlist"/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7" w:hanging="567"/>
        <w:rPr>
          <w:rFonts w:ascii="Calibri" w:eastAsia="Calibri" w:hAnsi="Calibri" w:cs="Calibri"/>
          <w:sz w:val="20"/>
          <w:szCs w:val="18"/>
        </w:rPr>
      </w:pPr>
      <w:r w:rsidRPr="005007F8">
        <w:rPr>
          <w:rFonts w:asciiTheme="minorHAnsi" w:hAnsiTheme="minorHAnsi" w:cstheme="minorHAnsi"/>
          <w:sz w:val="20"/>
          <w:szCs w:val="18"/>
        </w:rPr>
        <w:t>W zależności od wykonania należy użyć łożyska TMBU z ceramicznymi elementami tocznymi BC1-7229 CC lub NU210 ECM/HC5C3HVA301 019N.</w:t>
      </w:r>
    </w:p>
    <w:p w:rsidR="00F316B2" w:rsidRPr="00E9443C" w:rsidRDefault="00F316B2" w:rsidP="00F316B2">
      <w:pPr>
        <w:numPr>
          <w:ilvl w:val="1"/>
          <w:numId w:val="16"/>
        </w:numPr>
        <w:suppressAutoHyphens w:val="0"/>
        <w:spacing w:after="200" w:line="276" w:lineRule="auto"/>
        <w:ind w:left="567" w:hanging="567"/>
        <w:contextualSpacing/>
        <w:jc w:val="both"/>
        <w:textAlignment w:val="baseline"/>
        <w:rPr>
          <w:rFonts w:ascii="Calibri" w:hAnsi="Calibri" w:cs="Calibri"/>
          <w:color w:val="000000"/>
          <w:sz w:val="20"/>
          <w:szCs w:val="20"/>
          <w:lang w:eastAsia="pl-PL"/>
        </w:rPr>
      </w:pPr>
      <w:r w:rsidRPr="00E9443C">
        <w:rPr>
          <w:rFonts w:ascii="Calibri" w:hAnsi="Calibri" w:cs="Calibri"/>
          <w:color w:val="000000"/>
          <w:sz w:val="20"/>
          <w:szCs w:val="20"/>
          <w:lang w:eastAsia="pl-PL"/>
        </w:rPr>
        <w:t>Wyniki pomiaru rezystancji w stanie „zimnym” należy podać w odniesieniu do temperatury 20°C.</w:t>
      </w:r>
    </w:p>
    <w:p w:rsidR="00F316B2" w:rsidRPr="00E9443C" w:rsidRDefault="00F316B2" w:rsidP="00F316B2">
      <w:pPr>
        <w:numPr>
          <w:ilvl w:val="1"/>
          <w:numId w:val="16"/>
        </w:numPr>
        <w:suppressAutoHyphens w:val="0"/>
        <w:spacing w:after="200" w:line="276" w:lineRule="auto"/>
        <w:ind w:left="567" w:hanging="567"/>
        <w:contextualSpacing/>
        <w:jc w:val="both"/>
        <w:textAlignment w:val="baseline"/>
        <w:rPr>
          <w:rFonts w:ascii="Calibri" w:hAnsi="Calibri" w:cs="Calibri"/>
          <w:b/>
          <w:bCs/>
          <w:color w:val="000000"/>
          <w:lang w:eastAsia="pl-PL"/>
        </w:rPr>
      </w:pPr>
      <w:r w:rsidRPr="00E9443C">
        <w:rPr>
          <w:rFonts w:ascii="Calibri" w:hAnsi="Calibri" w:cs="Calibri"/>
          <w:color w:val="000000"/>
          <w:sz w:val="20"/>
          <w:szCs w:val="20"/>
          <w:lang w:eastAsia="pl-PL"/>
        </w:rPr>
        <w:t xml:space="preserve">Uzwojenia stojana silników oraz wirnika po wykonanym przezwojeniu powinny być wykonane minimum w klasie termicznej nie niższej niż </w:t>
      </w:r>
      <w:r w:rsidRPr="00E9443C">
        <w:rPr>
          <w:rFonts w:ascii="Calibri" w:hAnsi="Calibri" w:cs="Calibri"/>
          <w:b/>
          <w:bCs/>
          <w:color w:val="000000"/>
          <w:sz w:val="20"/>
          <w:szCs w:val="20"/>
          <w:lang w:eastAsia="pl-PL"/>
        </w:rPr>
        <w:t xml:space="preserve">klasa 220. </w:t>
      </w:r>
      <w:r w:rsidRPr="00E9443C">
        <w:rPr>
          <w:rFonts w:ascii="Calibri" w:hAnsi="Calibri" w:cs="Calibri"/>
          <w:bCs/>
          <w:color w:val="000000"/>
          <w:sz w:val="20"/>
          <w:szCs w:val="20"/>
          <w:lang w:eastAsia="pl-PL"/>
        </w:rPr>
        <w:t>Uzwojenia wychodzące ze żłobków powinny być zabezpieczone masą silikonową.</w:t>
      </w:r>
    </w:p>
    <w:p w:rsidR="00F316B2" w:rsidRPr="00E9443C" w:rsidRDefault="00F316B2" w:rsidP="00F316B2">
      <w:pPr>
        <w:numPr>
          <w:ilvl w:val="1"/>
          <w:numId w:val="16"/>
        </w:numPr>
        <w:suppressAutoHyphens w:val="0"/>
        <w:spacing w:after="200" w:line="276" w:lineRule="auto"/>
        <w:ind w:left="567" w:hanging="567"/>
        <w:contextualSpacing/>
        <w:jc w:val="both"/>
        <w:textAlignment w:val="baseline"/>
        <w:rPr>
          <w:rFonts w:ascii="Calibri" w:hAnsi="Calibri" w:cs="Calibri"/>
          <w:b/>
          <w:bCs/>
          <w:color w:val="000000"/>
          <w:lang w:eastAsia="pl-PL"/>
        </w:rPr>
      </w:pPr>
      <w:r w:rsidRPr="00E9443C">
        <w:rPr>
          <w:rFonts w:ascii="Calibri" w:hAnsi="Calibri" w:cs="Calibri"/>
          <w:bCs/>
          <w:color w:val="000000"/>
          <w:sz w:val="20"/>
          <w:szCs w:val="20"/>
          <w:lang w:eastAsia="pl-PL"/>
        </w:rPr>
        <w:t xml:space="preserve">W przypadku przezwojenia silnika profil miedziany musi być użyty o takich samych wymiarach przekroju oraz izolacji klasy 220 jaki zastosował Producent silnika. Zamawiający wymaga przedstawienia karty charakterystyki na użyty profil miedziany. </w:t>
      </w:r>
    </w:p>
    <w:p w:rsidR="00F316B2" w:rsidRPr="00E9443C" w:rsidRDefault="00F316B2" w:rsidP="00F316B2">
      <w:pPr>
        <w:numPr>
          <w:ilvl w:val="1"/>
          <w:numId w:val="16"/>
        </w:numPr>
        <w:suppressAutoHyphens w:val="0"/>
        <w:spacing w:after="200" w:line="276" w:lineRule="auto"/>
        <w:ind w:left="567" w:hanging="567"/>
        <w:contextualSpacing/>
        <w:jc w:val="both"/>
        <w:textAlignment w:val="baseline"/>
        <w:rPr>
          <w:rFonts w:ascii="Calibri" w:hAnsi="Calibri" w:cs="Calibri"/>
          <w:bCs/>
          <w:color w:val="000000"/>
          <w:sz w:val="20"/>
          <w:szCs w:val="20"/>
          <w:lang w:eastAsia="pl-PL"/>
        </w:rPr>
      </w:pPr>
      <w:r w:rsidRPr="00E9443C">
        <w:rPr>
          <w:rFonts w:ascii="Calibri" w:hAnsi="Calibri" w:cs="Calibri"/>
          <w:color w:val="000000"/>
          <w:sz w:val="20"/>
          <w:szCs w:val="20"/>
          <w:lang w:eastAsia="pl-PL"/>
        </w:rPr>
        <w:t>Zamawiający wymaga od  Wykonawcy przedstawienia karty charakterystyki na użyty lakier  impregnacyjny. </w:t>
      </w:r>
    </w:p>
    <w:p w:rsidR="00F316B2" w:rsidRPr="00E9443C" w:rsidRDefault="000C6B07" w:rsidP="00F316B2">
      <w:pPr>
        <w:numPr>
          <w:ilvl w:val="1"/>
          <w:numId w:val="16"/>
        </w:numPr>
        <w:suppressAutoHyphens w:val="0"/>
        <w:spacing w:after="200" w:line="276" w:lineRule="auto"/>
        <w:ind w:left="567" w:hanging="567"/>
        <w:contextualSpacing/>
        <w:jc w:val="both"/>
        <w:textAlignment w:val="baseline"/>
        <w:rPr>
          <w:rFonts w:ascii="Calibri" w:hAnsi="Calibri" w:cs="Calibri"/>
          <w:bCs/>
          <w:color w:val="000000"/>
          <w:sz w:val="20"/>
          <w:szCs w:val="20"/>
          <w:lang w:eastAsia="pl-PL"/>
        </w:rPr>
      </w:pPr>
      <w:r>
        <w:rPr>
          <w:rFonts w:ascii="Calibri" w:hAnsi="Calibri" w:cs="Calibri"/>
          <w:color w:val="000000"/>
          <w:sz w:val="20"/>
          <w:szCs w:val="20"/>
          <w:lang w:eastAsia="pl-PL"/>
        </w:rPr>
        <w:t> W silniku asynchronicznym</w:t>
      </w:r>
      <w:r w:rsidR="00F316B2" w:rsidRPr="00E9443C">
        <w:rPr>
          <w:rFonts w:ascii="Calibri" w:hAnsi="Calibri" w:cs="Calibri"/>
          <w:color w:val="000000"/>
          <w:sz w:val="20"/>
          <w:szCs w:val="20"/>
          <w:lang w:eastAsia="pl-PL"/>
        </w:rPr>
        <w:t xml:space="preserve"> Zamawiający wymaga  wymiany łożyska na nowe według zapisów znajdujących się w instrukcji danego typu silnika.</w:t>
      </w:r>
    </w:p>
    <w:p w:rsidR="00F316B2" w:rsidRPr="00E9443C" w:rsidRDefault="00F316B2" w:rsidP="00F316B2">
      <w:pPr>
        <w:numPr>
          <w:ilvl w:val="1"/>
          <w:numId w:val="16"/>
        </w:numPr>
        <w:suppressAutoHyphens w:val="0"/>
        <w:spacing w:after="200" w:line="276" w:lineRule="auto"/>
        <w:ind w:left="567" w:hanging="567"/>
        <w:contextualSpacing/>
        <w:jc w:val="both"/>
        <w:textAlignment w:val="baseline"/>
        <w:rPr>
          <w:rFonts w:ascii="Calibri" w:hAnsi="Calibri" w:cs="Calibri"/>
          <w:color w:val="000000"/>
          <w:sz w:val="20"/>
          <w:szCs w:val="20"/>
          <w:lang w:eastAsia="pl-PL"/>
        </w:rPr>
      </w:pPr>
      <w:r w:rsidRPr="00E9443C">
        <w:rPr>
          <w:rFonts w:ascii="Calibri" w:hAnsi="Calibri" w:cs="Calibri"/>
          <w:color w:val="000000"/>
          <w:sz w:val="20"/>
          <w:szCs w:val="20"/>
          <w:lang w:eastAsia="pl-PL"/>
        </w:rPr>
        <w:t xml:space="preserve">Do smarowania łożysk zastosować rodzaj i ilość smaru określoną w instrukcji obsługi silnika </w:t>
      </w:r>
      <w:r w:rsidRPr="00E9443C">
        <w:rPr>
          <w:rFonts w:ascii="Calibri" w:hAnsi="Calibri" w:cs="Calibri"/>
          <w:color w:val="000000"/>
          <w:sz w:val="20"/>
          <w:szCs w:val="20"/>
          <w:lang w:eastAsia="pl-PL"/>
        </w:rPr>
        <w:br/>
        <w:t xml:space="preserve">TMF 50-29-4. </w:t>
      </w:r>
    </w:p>
    <w:p w:rsidR="00F316B2" w:rsidRPr="00E9443C" w:rsidRDefault="00F316B2" w:rsidP="00F316B2">
      <w:pPr>
        <w:numPr>
          <w:ilvl w:val="1"/>
          <w:numId w:val="16"/>
        </w:numPr>
        <w:suppressAutoHyphens w:val="0"/>
        <w:spacing w:after="200" w:line="276" w:lineRule="auto"/>
        <w:ind w:left="567" w:hanging="567"/>
        <w:contextualSpacing/>
        <w:jc w:val="both"/>
        <w:textAlignment w:val="baseline"/>
        <w:rPr>
          <w:rFonts w:ascii="Calibri" w:hAnsi="Calibri" w:cs="Calibri"/>
          <w:b/>
          <w:color w:val="000000"/>
          <w:sz w:val="20"/>
          <w:szCs w:val="20"/>
          <w:lang w:eastAsia="pl-PL"/>
        </w:rPr>
      </w:pPr>
      <w:r w:rsidRPr="00E9443C">
        <w:rPr>
          <w:rFonts w:ascii="Calibri" w:hAnsi="Calibri" w:cs="Calibri"/>
          <w:b/>
          <w:color w:val="000000"/>
          <w:sz w:val="20"/>
          <w:szCs w:val="20"/>
          <w:lang w:eastAsia="pl-PL"/>
        </w:rPr>
        <w:t xml:space="preserve">W przypadku przezwojenia Zamawiający wymaga od Wykonawcy przedstawienia kart charakterystyki na użyte materiały: </w:t>
      </w:r>
    </w:p>
    <w:p w:rsidR="00F316B2" w:rsidRPr="00E9443C" w:rsidRDefault="00F316B2" w:rsidP="00F316B2">
      <w:pPr>
        <w:numPr>
          <w:ilvl w:val="0"/>
          <w:numId w:val="1"/>
        </w:numPr>
        <w:shd w:val="clear" w:color="auto" w:fill="FFFFFF"/>
        <w:suppressAutoHyphens w:val="0"/>
        <w:autoSpaceDE w:val="0"/>
        <w:autoSpaceDN w:val="0"/>
        <w:spacing w:before="120" w:after="100" w:afterAutospacing="1" w:line="259" w:lineRule="auto"/>
        <w:contextualSpacing/>
        <w:jc w:val="both"/>
        <w:rPr>
          <w:rFonts w:ascii="Calibri" w:hAnsi="Calibri" w:cs="Calibri"/>
          <w:b/>
          <w:color w:val="000000"/>
          <w:sz w:val="20"/>
          <w:szCs w:val="20"/>
          <w:lang w:eastAsia="pl-PL"/>
        </w:rPr>
      </w:pPr>
      <w:r w:rsidRPr="00E9443C">
        <w:rPr>
          <w:rFonts w:ascii="Calibri" w:hAnsi="Calibri" w:cs="Calibri"/>
          <w:b/>
          <w:color w:val="000000"/>
          <w:sz w:val="20"/>
          <w:szCs w:val="20"/>
          <w:lang w:eastAsia="pl-PL"/>
        </w:rPr>
        <w:t>Profil nawojowy,</w:t>
      </w:r>
    </w:p>
    <w:p w:rsidR="00F316B2" w:rsidRPr="00E9443C" w:rsidRDefault="00F316B2" w:rsidP="00F316B2">
      <w:pPr>
        <w:numPr>
          <w:ilvl w:val="0"/>
          <w:numId w:val="1"/>
        </w:numPr>
        <w:shd w:val="clear" w:color="auto" w:fill="FFFFFF"/>
        <w:suppressAutoHyphens w:val="0"/>
        <w:autoSpaceDE w:val="0"/>
        <w:autoSpaceDN w:val="0"/>
        <w:spacing w:before="120" w:after="100" w:afterAutospacing="1" w:line="259" w:lineRule="auto"/>
        <w:contextualSpacing/>
        <w:jc w:val="both"/>
        <w:rPr>
          <w:rFonts w:ascii="Calibri" w:hAnsi="Calibri" w:cs="Calibri"/>
          <w:b/>
          <w:color w:val="000000"/>
          <w:sz w:val="20"/>
          <w:szCs w:val="20"/>
          <w:lang w:eastAsia="pl-PL"/>
        </w:rPr>
      </w:pPr>
      <w:r w:rsidRPr="00E9443C">
        <w:rPr>
          <w:rFonts w:ascii="Calibri" w:hAnsi="Calibri" w:cs="Calibri"/>
          <w:b/>
          <w:color w:val="000000"/>
          <w:sz w:val="20"/>
          <w:szCs w:val="20"/>
          <w:lang w:eastAsia="pl-PL"/>
        </w:rPr>
        <w:t>Izolację: żłobkową, główną,</w:t>
      </w:r>
    </w:p>
    <w:p w:rsidR="00F316B2" w:rsidRPr="00E9443C" w:rsidRDefault="00F316B2" w:rsidP="00F316B2">
      <w:pPr>
        <w:numPr>
          <w:ilvl w:val="0"/>
          <w:numId w:val="1"/>
        </w:numPr>
        <w:shd w:val="clear" w:color="auto" w:fill="FFFFFF"/>
        <w:suppressAutoHyphens w:val="0"/>
        <w:autoSpaceDE w:val="0"/>
        <w:autoSpaceDN w:val="0"/>
        <w:spacing w:before="120" w:after="100" w:afterAutospacing="1" w:line="259" w:lineRule="auto"/>
        <w:contextualSpacing/>
        <w:jc w:val="both"/>
        <w:rPr>
          <w:rFonts w:ascii="Calibri" w:hAnsi="Calibri" w:cs="Calibri"/>
          <w:b/>
          <w:color w:val="000000"/>
          <w:sz w:val="20"/>
          <w:szCs w:val="20"/>
          <w:lang w:eastAsia="pl-PL"/>
        </w:rPr>
      </w:pPr>
      <w:r w:rsidRPr="00E9443C">
        <w:rPr>
          <w:rFonts w:ascii="Calibri" w:hAnsi="Calibri" w:cs="Calibri"/>
          <w:b/>
          <w:color w:val="000000"/>
          <w:sz w:val="20"/>
          <w:szCs w:val="20"/>
          <w:lang w:eastAsia="pl-PL"/>
        </w:rPr>
        <w:t>Kliny izolacyjne,</w:t>
      </w:r>
    </w:p>
    <w:p w:rsidR="00F316B2" w:rsidRPr="00E9443C" w:rsidRDefault="00F316B2" w:rsidP="00F316B2">
      <w:pPr>
        <w:numPr>
          <w:ilvl w:val="0"/>
          <w:numId w:val="1"/>
        </w:numPr>
        <w:shd w:val="clear" w:color="auto" w:fill="FFFFFF"/>
        <w:suppressAutoHyphens w:val="0"/>
        <w:autoSpaceDE w:val="0"/>
        <w:autoSpaceDN w:val="0"/>
        <w:spacing w:before="120" w:after="100" w:afterAutospacing="1" w:line="259" w:lineRule="auto"/>
        <w:contextualSpacing/>
        <w:jc w:val="both"/>
        <w:rPr>
          <w:rFonts w:ascii="Calibri" w:hAnsi="Calibri" w:cs="Calibri"/>
          <w:b/>
          <w:color w:val="000000"/>
          <w:sz w:val="20"/>
          <w:szCs w:val="20"/>
          <w:lang w:eastAsia="pl-PL"/>
        </w:rPr>
      </w:pPr>
      <w:r w:rsidRPr="00E9443C">
        <w:rPr>
          <w:rFonts w:ascii="Calibri" w:hAnsi="Calibri" w:cs="Calibri"/>
          <w:b/>
          <w:color w:val="000000"/>
          <w:sz w:val="20"/>
          <w:szCs w:val="20"/>
          <w:lang w:eastAsia="pl-PL"/>
        </w:rPr>
        <w:t>Żywicę (lakier) do impregnacji,</w:t>
      </w:r>
    </w:p>
    <w:p w:rsidR="00F316B2" w:rsidRPr="00E9443C" w:rsidRDefault="00F316B2" w:rsidP="00F316B2">
      <w:pPr>
        <w:numPr>
          <w:ilvl w:val="0"/>
          <w:numId w:val="1"/>
        </w:numPr>
        <w:shd w:val="clear" w:color="auto" w:fill="FFFFFF"/>
        <w:suppressAutoHyphens w:val="0"/>
        <w:autoSpaceDE w:val="0"/>
        <w:autoSpaceDN w:val="0"/>
        <w:spacing w:before="120" w:after="100" w:afterAutospacing="1" w:line="259" w:lineRule="auto"/>
        <w:contextualSpacing/>
        <w:jc w:val="both"/>
        <w:rPr>
          <w:rFonts w:ascii="Calibri" w:hAnsi="Calibri" w:cs="Calibri"/>
          <w:b/>
          <w:color w:val="000000"/>
          <w:sz w:val="20"/>
          <w:szCs w:val="20"/>
          <w:lang w:eastAsia="pl-PL"/>
        </w:rPr>
      </w:pPr>
      <w:r w:rsidRPr="00E9443C">
        <w:rPr>
          <w:rFonts w:ascii="Calibri" w:hAnsi="Calibri" w:cs="Calibri"/>
          <w:b/>
          <w:color w:val="000000"/>
          <w:sz w:val="20"/>
          <w:szCs w:val="20"/>
          <w:lang w:eastAsia="pl-PL"/>
        </w:rPr>
        <w:t>Masy uszczelniające jeżeli były zastosowane,</w:t>
      </w:r>
    </w:p>
    <w:p w:rsidR="00F316B2" w:rsidRPr="00E9443C" w:rsidRDefault="00F316B2" w:rsidP="00F316B2">
      <w:pPr>
        <w:numPr>
          <w:ilvl w:val="0"/>
          <w:numId w:val="1"/>
        </w:numPr>
        <w:shd w:val="clear" w:color="auto" w:fill="FFFFFF"/>
        <w:suppressAutoHyphens w:val="0"/>
        <w:autoSpaceDE w:val="0"/>
        <w:autoSpaceDN w:val="0"/>
        <w:spacing w:before="120" w:after="100" w:afterAutospacing="1" w:line="259" w:lineRule="auto"/>
        <w:contextualSpacing/>
        <w:jc w:val="both"/>
        <w:rPr>
          <w:rFonts w:ascii="Calibri" w:hAnsi="Calibri" w:cs="Calibri"/>
          <w:b/>
          <w:color w:val="000000"/>
          <w:sz w:val="20"/>
          <w:szCs w:val="20"/>
          <w:lang w:eastAsia="pl-PL"/>
        </w:rPr>
      </w:pPr>
      <w:r w:rsidRPr="00E9443C">
        <w:rPr>
          <w:rFonts w:ascii="Calibri" w:hAnsi="Calibri" w:cs="Calibri"/>
          <w:b/>
          <w:color w:val="000000"/>
          <w:sz w:val="20"/>
          <w:szCs w:val="20"/>
          <w:lang w:eastAsia="pl-PL"/>
        </w:rPr>
        <w:t xml:space="preserve">Smar do łożysk. </w:t>
      </w:r>
    </w:p>
    <w:p w:rsidR="00F316B2" w:rsidRPr="00E9443C" w:rsidRDefault="00F316B2" w:rsidP="00F316B2">
      <w:pPr>
        <w:numPr>
          <w:ilvl w:val="1"/>
          <w:numId w:val="16"/>
        </w:numPr>
        <w:suppressAutoHyphens w:val="0"/>
        <w:spacing w:after="200" w:line="276" w:lineRule="auto"/>
        <w:ind w:left="567" w:hanging="567"/>
        <w:contextualSpacing/>
        <w:jc w:val="both"/>
        <w:textAlignment w:val="baseline"/>
        <w:rPr>
          <w:rFonts w:ascii="Calibri" w:hAnsi="Calibri" w:cs="Calibri"/>
          <w:color w:val="000000"/>
          <w:sz w:val="20"/>
          <w:szCs w:val="20"/>
          <w:lang w:eastAsia="pl-PL"/>
        </w:rPr>
      </w:pPr>
      <w:r w:rsidRPr="00E9443C">
        <w:rPr>
          <w:rFonts w:ascii="Calibri" w:hAnsi="Calibri" w:cs="Calibri"/>
          <w:color w:val="000000"/>
          <w:sz w:val="20"/>
          <w:szCs w:val="20"/>
          <w:lang w:eastAsia="pl-PL"/>
        </w:rPr>
        <w:t>Dopuszczalna skuteczna prędkość drgań dla silnika wynosi 2,8 mm/s.</w:t>
      </w:r>
    </w:p>
    <w:p w:rsidR="00F316B2" w:rsidRPr="00E9443C" w:rsidRDefault="00F316B2" w:rsidP="00F316B2">
      <w:pPr>
        <w:numPr>
          <w:ilvl w:val="1"/>
          <w:numId w:val="16"/>
        </w:numPr>
        <w:suppressAutoHyphens w:val="0"/>
        <w:spacing w:after="200" w:line="276" w:lineRule="auto"/>
        <w:ind w:left="567" w:hanging="567"/>
        <w:contextualSpacing/>
        <w:jc w:val="both"/>
        <w:textAlignment w:val="baseline"/>
        <w:rPr>
          <w:rFonts w:ascii="Calibri" w:hAnsi="Calibri" w:cs="Calibri"/>
          <w:color w:val="000000"/>
          <w:sz w:val="20"/>
          <w:szCs w:val="20"/>
          <w:lang w:eastAsia="pl-PL"/>
        </w:rPr>
      </w:pPr>
      <w:r w:rsidRPr="00E9443C">
        <w:rPr>
          <w:rFonts w:ascii="Calibri" w:hAnsi="Calibri" w:cs="Calibri"/>
          <w:color w:val="000000"/>
          <w:sz w:val="20"/>
          <w:szCs w:val="20"/>
          <w:lang w:eastAsia="pl-PL"/>
        </w:rPr>
        <w:t>Wirnik silnika przed wyważeniem należy zaimpregnować i pomalować w klasie nie niższej niż 220.</w:t>
      </w:r>
    </w:p>
    <w:p w:rsidR="00F316B2" w:rsidRPr="00E9443C" w:rsidRDefault="00F316B2" w:rsidP="00F316B2">
      <w:pPr>
        <w:numPr>
          <w:ilvl w:val="1"/>
          <w:numId w:val="16"/>
        </w:numPr>
        <w:suppressAutoHyphens w:val="0"/>
        <w:spacing w:after="200" w:line="276" w:lineRule="auto"/>
        <w:ind w:left="567" w:hanging="567"/>
        <w:contextualSpacing/>
        <w:jc w:val="both"/>
        <w:textAlignment w:val="baseline"/>
        <w:rPr>
          <w:rFonts w:ascii="Calibri" w:hAnsi="Calibri" w:cs="Calibri"/>
          <w:color w:val="000000"/>
          <w:sz w:val="20"/>
          <w:szCs w:val="20"/>
          <w:lang w:eastAsia="pl-PL"/>
        </w:rPr>
      </w:pPr>
      <w:r w:rsidRPr="00E9443C">
        <w:rPr>
          <w:rFonts w:ascii="Calibri" w:hAnsi="Calibri" w:cs="Calibri"/>
          <w:color w:val="000000"/>
          <w:sz w:val="20"/>
          <w:szCs w:val="20"/>
          <w:lang w:eastAsia="pl-PL"/>
        </w:rPr>
        <w:t>Wirnik należy wyważyć w klasie G1, dopuszczalne niewyważenie resztkowe 1,4g przy Ø263mm i 1,5g przy Ø248mm.</w:t>
      </w:r>
    </w:p>
    <w:p w:rsidR="00F316B2" w:rsidRPr="00E9443C" w:rsidRDefault="00F316B2" w:rsidP="00F316B2">
      <w:pPr>
        <w:numPr>
          <w:ilvl w:val="1"/>
          <w:numId w:val="16"/>
        </w:numPr>
        <w:suppressAutoHyphens w:val="0"/>
        <w:spacing w:after="200" w:line="276" w:lineRule="auto"/>
        <w:ind w:left="567" w:hanging="567"/>
        <w:contextualSpacing/>
        <w:jc w:val="both"/>
        <w:textAlignment w:val="baseline"/>
        <w:rPr>
          <w:rFonts w:ascii="Calibri" w:hAnsi="Calibri" w:cs="Calibri"/>
          <w:color w:val="000000"/>
          <w:sz w:val="20"/>
          <w:szCs w:val="20"/>
          <w:lang w:eastAsia="pl-PL"/>
        </w:rPr>
      </w:pPr>
      <w:r w:rsidRPr="00E9443C">
        <w:rPr>
          <w:rFonts w:ascii="Calibri" w:hAnsi="Calibri" w:cs="Calibri"/>
          <w:color w:val="000000"/>
          <w:sz w:val="20"/>
          <w:szCs w:val="20"/>
          <w:lang w:eastAsia="pl-PL"/>
        </w:rPr>
        <w:t>Niewyważenie należy korygować przez dokładanie ciężarków lub ujmowania materiału przez nawiercanie,  wg wytycznych zawartych w dokumentacji danego typu silnika. </w:t>
      </w:r>
    </w:p>
    <w:p w:rsidR="00F316B2" w:rsidRPr="00E9443C" w:rsidRDefault="00F316B2" w:rsidP="00F316B2">
      <w:pPr>
        <w:numPr>
          <w:ilvl w:val="1"/>
          <w:numId w:val="16"/>
        </w:numPr>
        <w:suppressAutoHyphens w:val="0"/>
        <w:spacing w:after="200" w:line="276" w:lineRule="auto"/>
        <w:ind w:left="567" w:hanging="567"/>
        <w:contextualSpacing/>
        <w:jc w:val="both"/>
        <w:textAlignment w:val="baseline"/>
        <w:rPr>
          <w:rFonts w:ascii="Calibri" w:hAnsi="Calibri" w:cs="Calibri"/>
          <w:color w:val="000000"/>
          <w:sz w:val="20"/>
          <w:szCs w:val="20"/>
          <w:lang w:eastAsia="pl-PL"/>
        </w:rPr>
      </w:pPr>
      <w:r w:rsidRPr="00E9443C">
        <w:rPr>
          <w:rFonts w:ascii="Calibri" w:hAnsi="Calibri" w:cs="Calibri"/>
          <w:color w:val="000000"/>
          <w:sz w:val="20"/>
          <w:szCs w:val="20"/>
          <w:lang w:eastAsia="pl-PL"/>
        </w:rPr>
        <w:t xml:space="preserve">W </w:t>
      </w:r>
      <w:r w:rsidR="000C6B07">
        <w:rPr>
          <w:rFonts w:ascii="Calibri" w:hAnsi="Calibri" w:cs="Calibri"/>
          <w:color w:val="000000"/>
          <w:sz w:val="20"/>
          <w:szCs w:val="20"/>
          <w:lang w:eastAsia="pl-PL"/>
        </w:rPr>
        <w:t>silniku asynchronicznym</w:t>
      </w:r>
      <w:r w:rsidR="000C6B07" w:rsidRPr="00E9443C">
        <w:rPr>
          <w:rFonts w:ascii="Calibri" w:hAnsi="Calibri" w:cs="Calibri"/>
          <w:color w:val="000000"/>
          <w:sz w:val="20"/>
          <w:szCs w:val="20"/>
          <w:lang w:eastAsia="pl-PL"/>
        </w:rPr>
        <w:t xml:space="preserve"> </w:t>
      </w:r>
      <w:r w:rsidRPr="00E9443C">
        <w:rPr>
          <w:rFonts w:ascii="Calibri" w:hAnsi="Calibri" w:cs="Calibri"/>
          <w:color w:val="000000"/>
          <w:sz w:val="20"/>
          <w:szCs w:val="20"/>
          <w:lang w:eastAsia="pl-PL"/>
        </w:rPr>
        <w:t>po każdej wymianie uzwojenia stojana, wirnika lub łożysk, należy przeprowadzić wdrożenie silnika do pracy przy zasilaniu ze źródła o regulowanym napięciu i przy znamionowej częstotliwości wg normy PN-72E-04272.</w:t>
      </w:r>
    </w:p>
    <w:p w:rsidR="00F316B2" w:rsidRPr="00E9443C" w:rsidRDefault="00F316B2" w:rsidP="00F316B2">
      <w:pPr>
        <w:numPr>
          <w:ilvl w:val="1"/>
          <w:numId w:val="16"/>
        </w:numPr>
        <w:suppressAutoHyphens w:val="0"/>
        <w:spacing w:after="200" w:line="276" w:lineRule="auto"/>
        <w:ind w:left="567" w:hanging="567"/>
        <w:contextualSpacing/>
        <w:jc w:val="both"/>
        <w:textAlignment w:val="baseline"/>
        <w:rPr>
          <w:rFonts w:ascii="Calibri" w:hAnsi="Calibri" w:cs="Calibri"/>
          <w:color w:val="000000"/>
          <w:sz w:val="20"/>
          <w:szCs w:val="20"/>
          <w:lang w:eastAsia="pl-PL"/>
        </w:rPr>
      </w:pPr>
      <w:r w:rsidRPr="00E9443C">
        <w:rPr>
          <w:rFonts w:ascii="Calibri" w:hAnsi="Calibri" w:cs="Calibri"/>
          <w:color w:val="000000"/>
          <w:sz w:val="20"/>
          <w:szCs w:val="20"/>
          <w:lang w:eastAsia="pl-PL"/>
        </w:rPr>
        <w:t xml:space="preserve">Podzespoły, materiały i części wykorzystywane do naprawy powinny być zgodne wykazem zawartym </w:t>
      </w:r>
      <w:r w:rsidRPr="00E9443C">
        <w:rPr>
          <w:rFonts w:ascii="Calibri" w:hAnsi="Calibri" w:cs="Calibri"/>
          <w:color w:val="000000"/>
          <w:sz w:val="20"/>
          <w:szCs w:val="20"/>
          <w:lang w:eastAsia="pl-PL"/>
        </w:rPr>
        <w:br/>
        <w:t>w  instrukcji obsługi silnika TMF 50-29-4. W przypadku materiałów, części lub podzespołów innych niż określone w instrukcji obsługi przed ich zastosowaniem należy uzyskać akceptację Zamawiającego</w:t>
      </w:r>
      <w:r>
        <w:rPr>
          <w:rFonts w:ascii="Calibri" w:hAnsi="Calibri" w:cs="Calibri"/>
          <w:color w:val="000000"/>
          <w:sz w:val="20"/>
          <w:szCs w:val="20"/>
          <w:lang w:eastAsia="pl-PL"/>
        </w:rPr>
        <w:t xml:space="preserve"> </w:t>
      </w:r>
      <w:r w:rsidRPr="005007F8">
        <w:rPr>
          <w:rFonts w:ascii="Calibri" w:eastAsia="Calibri" w:hAnsi="Calibri" w:cs="Calibri"/>
          <w:sz w:val="20"/>
          <w:szCs w:val="18"/>
        </w:rPr>
        <w:t>po przedstawieniu analizy znaczenia zmian zgodnie z  Rozporządzeniem Wykonawczym Komisji (UE) 2018/545 z dnia 4 kwietnia 2018 r. ustanawiające uzgodnienia praktyczne na potrzeby procesu udzielania zezwoleń dla pojazdów kolejowych i zezwoleń dla typu pojazdu kolejowego zgodnie z dyrektywą Parlamentu Europejskiego i Rady (UE) 2016/797. Ponadto, wprowadzenie nowego typu łożysk nie ujętego przez producenta silnika w dokumentacji technicznej implikuje konieczność przeprowadzenia eksploatacji próbnej zgodni</w:t>
      </w:r>
      <w:r>
        <w:rPr>
          <w:rFonts w:ascii="Calibri" w:eastAsia="Calibri" w:hAnsi="Calibri" w:cs="Calibri"/>
          <w:sz w:val="20"/>
          <w:szCs w:val="18"/>
        </w:rPr>
        <w:t>e z wymaganiami Instrukcji Pt-5</w:t>
      </w:r>
      <w:r w:rsidRPr="00E9443C">
        <w:rPr>
          <w:rFonts w:ascii="Calibri" w:hAnsi="Calibri" w:cs="Calibri"/>
          <w:color w:val="000000"/>
          <w:sz w:val="20"/>
          <w:szCs w:val="20"/>
          <w:lang w:eastAsia="pl-PL"/>
        </w:rPr>
        <w:t>.</w:t>
      </w:r>
    </w:p>
    <w:p w:rsidR="00F316B2" w:rsidRPr="00E9443C" w:rsidRDefault="00F316B2" w:rsidP="00F316B2">
      <w:pPr>
        <w:numPr>
          <w:ilvl w:val="1"/>
          <w:numId w:val="16"/>
        </w:numPr>
        <w:suppressAutoHyphens w:val="0"/>
        <w:spacing w:after="200" w:line="276" w:lineRule="auto"/>
        <w:ind w:left="567" w:hanging="567"/>
        <w:contextualSpacing/>
        <w:jc w:val="both"/>
        <w:textAlignment w:val="baseline"/>
        <w:rPr>
          <w:rFonts w:ascii="Calibri" w:hAnsi="Calibri" w:cs="Calibri"/>
          <w:color w:val="000000"/>
          <w:sz w:val="20"/>
          <w:szCs w:val="20"/>
          <w:lang w:eastAsia="pl-PL"/>
        </w:rPr>
      </w:pPr>
      <w:r w:rsidRPr="00E9443C">
        <w:rPr>
          <w:rFonts w:ascii="Calibri" w:hAnsi="Calibri" w:cs="Calibri"/>
          <w:color w:val="000000"/>
          <w:sz w:val="20"/>
          <w:szCs w:val="20"/>
          <w:lang w:eastAsia="pl-PL"/>
        </w:rPr>
        <w:t>Na potwierdzenie zastosowania wymienionych podzespołów i zastosowanego rodzaju smaru Wykonawca przedstawi świadectwo zgodności (deklarację) Producenta podzespołów i smaru oraz kartę techniczną dla zastosowanego rodzaju smaru.</w:t>
      </w:r>
    </w:p>
    <w:p w:rsidR="00F316B2" w:rsidRPr="00E9443C" w:rsidRDefault="00F316B2" w:rsidP="00F316B2">
      <w:pPr>
        <w:numPr>
          <w:ilvl w:val="1"/>
          <w:numId w:val="16"/>
        </w:numPr>
        <w:suppressAutoHyphens w:val="0"/>
        <w:spacing w:after="200" w:line="276" w:lineRule="auto"/>
        <w:ind w:left="567" w:hanging="567"/>
        <w:contextualSpacing/>
        <w:jc w:val="both"/>
        <w:textAlignment w:val="baseline"/>
        <w:rPr>
          <w:rFonts w:ascii="Calibri" w:hAnsi="Calibri" w:cs="Calibri"/>
          <w:color w:val="000000"/>
          <w:sz w:val="20"/>
          <w:szCs w:val="20"/>
          <w:lang w:eastAsia="pl-PL"/>
        </w:rPr>
      </w:pPr>
      <w:r w:rsidRPr="00E9443C">
        <w:rPr>
          <w:rFonts w:ascii="Calibri" w:hAnsi="Calibri" w:cs="Calibri"/>
          <w:color w:val="000000"/>
          <w:sz w:val="20"/>
          <w:szCs w:val="20"/>
          <w:lang w:eastAsia="pl-PL"/>
        </w:rPr>
        <w:lastRenderedPageBreak/>
        <w:t xml:space="preserve">W przypadku stwierdzenia uszkodzenia wirnika Zamawiający wymaga jego wymiany na taki sam typ jaki jest zastosowany w silniku. </w:t>
      </w:r>
    </w:p>
    <w:p w:rsidR="00F316B2" w:rsidRPr="00E9443C" w:rsidRDefault="00F316B2" w:rsidP="00F316B2">
      <w:pPr>
        <w:numPr>
          <w:ilvl w:val="1"/>
          <w:numId w:val="16"/>
        </w:numPr>
        <w:suppressAutoHyphens w:val="0"/>
        <w:spacing w:after="200" w:line="276" w:lineRule="auto"/>
        <w:ind w:left="567" w:hanging="567"/>
        <w:contextualSpacing/>
        <w:jc w:val="both"/>
        <w:textAlignment w:val="baseline"/>
        <w:rPr>
          <w:rFonts w:ascii="Calibri" w:hAnsi="Calibri" w:cs="Calibri"/>
          <w:color w:val="000000"/>
          <w:sz w:val="20"/>
          <w:szCs w:val="20"/>
          <w:lang w:eastAsia="pl-PL"/>
        </w:rPr>
      </w:pPr>
      <w:r w:rsidRPr="00E9443C">
        <w:rPr>
          <w:rFonts w:ascii="Calibri" w:hAnsi="Calibri" w:cs="Calibri"/>
          <w:color w:val="000000"/>
          <w:sz w:val="20"/>
          <w:szCs w:val="20"/>
          <w:lang w:eastAsia="pl-PL"/>
        </w:rPr>
        <w:t>Zamawiający wymaga sprawdzenia stanu tabliczki znamionowej. Nieczytelną należy wymienić na zastępczą zgodnie z normą</w:t>
      </w:r>
      <w:r>
        <w:rPr>
          <w:rFonts w:ascii="Calibri" w:hAnsi="Calibri" w:cs="Calibri"/>
          <w:color w:val="000000"/>
          <w:sz w:val="20"/>
          <w:szCs w:val="20"/>
          <w:lang w:eastAsia="pl-PL"/>
        </w:rPr>
        <w:t xml:space="preserve"> </w:t>
      </w:r>
      <w:r w:rsidRPr="005007F8">
        <w:rPr>
          <w:rFonts w:ascii="Calibri" w:eastAsia="Calibri" w:hAnsi="Calibri" w:cs="Calibri"/>
          <w:sz w:val="20"/>
          <w:szCs w:val="18"/>
        </w:rPr>
        <w:t>wg PN-EN 60034-1. Starej tabliczki nie należy demontować. Nowa tabliczka powinna być tak zamon</w:t>
      </w:r>
      <w:r>
        <w:rPr>
          <w:rFonts w:ascii="Calibri" w:eastAsia="Calibri" w:hAnsi="Calibri" w:cs="Calibri"/>
          <w:sz w:val="20"/>
          <w:szCs w:val="18"/>
        </w:rPr>
        <w:t>towana, by nie zakrywała starej</w:t>
      </w:r>
      <w:r w:rsidRPr="00E9443C">
        <w:rPr>
          <w:rFonts w:ascii="Calibri" w:hAnsi="Calibri" w:cs="Calibri"/>
          <w:color w:val="000000"/>
          <w:sz w:val="20"/>
          <w:szCs w:val="20"/>
          <w:lang w:eastAsia="pl-PL"/>
        </w:rPr>
        <w:t xml:space="preserve">. </w:t>
      </w:r>
    </w:p>
    <w:p w:rsidR="00F316B2" w:rsidRPr="00E9443C" w:rsidRDefault="00F316B2" w:rsidP="00F316B2">
      <w:pPr>
        <w:numPr>
          <w:ilvl w:val="1"/>
          <w:numId w:val="16"/>
        </w:numPr>
        <w:suppressAutoHyphens w:val="0"/>
        <w:spacing w:after="200" w:line="276" w:lineRule="auto"/>
        <w:ind w:left="567" w:hanging="567"/>
        <w:contextualSpacing/>
        <w:jc w:val="both"/>
        <w:textAlignment w:val="baseline"/>
        <w:rPr>
          <w:rFonts w:ascii="Calibri" w:hAnsi="Calibri" w:cs="Calibri"/>
          <w:color w:val="000000"/>
          <w:sz w:val="20"/>
          <w:szCs w:val="20"/>
          <w:lang w:eastAsia="pl-PL"/>
        </w:rPr>
      </w:pPr>
      <w:r w:rsidRPr="00E9443C">
        <w:rPr>
          <w:rFonts w:ascii="Calibri" w:hAnsi="Calibri" w:cs="Calibri"/>
          <w:color w:val="000000"/>
          <w:sz w:val="20"/>
          <w:szCs w:val="20"/>
          <w:lang w:eastAsia="pl-PL"/>
        </w:rPr>
        <w:t xml:space="preserve">Po czyszczeniu (myciu) niezbędna jest impregnacja </w:t>
      </w:r>
      <w:r>
        <w:rPr>
          <w:rFonts w:ascii="Calibri" w:hAnsi="Calibri" w:cs="Calibri"/>
          <w:color w:val="000000"/>
          <w:sz w:val="20"/>
          <w:szCs w:val="20"/>
          <w:lang w:eastAsia="pl-PL"/>
        </w:rPr>
        <w:t xml:space="preserve">VPI </w:t>
      </w:r>
      <w:r w:rsidRPr="00E9443C">
        <w:rPr>
          <w:rFonts w:ascii="Calibri" w:hAnsi="Calibri" w:cs="Calibri"/>
          <w:color w:val="000000"/>
          <w:sz w:val="20"/>
          <w:szCs w:val="20"/>
          <w:lang w:eastAsia="pl-PL"/>
        </w:rPr>
        <w:t xml:space="preserve">uzwojenia i ponowne lakierowanie podzespołów stojana i wirnika. Przy czym środek impregnacyjny musi być dostosowany do systemu izolacji w klasie 220. </w:t>
      </w:r>
    </w:p>
    <w:p w:rsidR="00F316B2" w:rsidRPr="00E9443C" w:rsidRDefault="00F316B2" w:rsidP="00F316B2">
      <w:pPr>
        <w:numPr>
          <w:ilvl w:val="1"/>
          <w:numId w:val="16"/>
        </w:numPr>
        <w:suppressAutoHyphens w:val="0"/>
        <w:spacing w:after="200" w:line="276" w:lineRule="auto"/>
        <w:ind w:left="567" w:hanging="567"/>
        <w:contextualSpacing/>
        <w:jc w:val="both"/>
        <w:textAlignment w:val="baseline"/>
        <w:rPr>
          <w:rFonts w:ascii="Calibri" w:hAnsi="Calibri" w:cs="Calibri"/>
          <w:color w:val="000000"/>
          <w:sz w:val="20"/>
          <w:szCs w:val="20"/>
          <w:lang w:eastAsia="pl-PL"/>
        </w:rPr>
      </w:pPr>
      <w:r w:rsidRPr="00E9443C">
        <w:rPr>
          <w:rFonts w:ascii="Calibri" w:hAnsi="Calibri" w:cs="Calibri"/>
          <w:color w:val="000000"/>
          <w:sz w:val="20"/>
          <w:szCs w:val="20"/>
          <w:lang w:eastAsia="pl-PL"/>
        </w:rPr>
        <w:t xml:space="preserve">Uzwojenia stojana silników po wykonanym przezwojeniu powinny być wykonane, minimum, w klasie termicznej 220. Impregnacja uzwojeń stojana powinna być wykonana metodą ciśnieniowo-próżniową VPI. Na potwierdzenie wykonania w niniejszej klasie Wykonawca przedstawi świadectwo zgodności (deklarację) producenta lakieru (żywicy) oraz kartę techniczną produktu. </w:t>
      </w:r>
      <w:r>
        <w:rPr>
          <w:rFonts w:ascii="Calibri" w:hAnsi="Calibri" w:cs="Calibri"/>
          <w:color w:val="000000"/>
          <w:sz w:val="20"/>
          <w:szCs w:val="20"/>
          <w:lang w:eastAsia="pl-PL"/>
        </w:rPr>
        <w:t>Dodatkowo - zabezpieczające</w:t>
      </w:r>
      <w:r w:rsidRPr="00E9443C">
        <w:rPr>
          <w:rFonts w:ascii="Calibri" w:hAnsi="Calibri" w:cs="Calibri"/>
          <w:color w:val="000000"/>
          <w:sz w:val="20"/>
          <w:szCs w:val="20"/>
          <w:lang w:eastAsia="pl-PL"/>
        </w:rPr>
        <w:t xml:space="preserve"> pokrycie powierzchniowe uzwojeń natryskowo lakierem (żywicą) w klasie termicznej 220. </w:t>
      </w:r>
    </w:p>
    <w:p w:rsidR="00F316B2" w:rsidRPr="00E9443C" w:rsidRDefault="00F316B2" w:rsidP="00F316B2">
      <w:pPr>
        <w:numPr>
          <w:ilvl w:val="1"/>
          <w:numId w:val="16"/>
        </w:numPr>
        <w:suppressAutoHyphens w:val="0"/>
        <w:spacing w:after="200" w:line="276" w:lineRule="auto"/>
        <w:ind w:left="567" w:hanging="567"/>
        <w:contextualSpacing/>
        <w:jc w:val="both"/>
        <w:textAlignment w:val="baseline"/>
        <w:rPr>
          <w:rFonts w:ascii="Calibri" w:hAnsi="Calibri" w:cs="Calibri"/>
          <w:color w:val="000000"/>
          <w:sz w:val="20"/>
          <w:szCs w:val="20"/>
          <w:lang w:eastAsia="pl-PL"/>
        </w:rPr>
      </w:pPr>
      <w:r w:rsidRPr="00E9443C">
        <w:rPr>
          <w:rFonts w:ascii="Calibri" w:hAnsi="Calibri" w:cs="Calibri"/>
          <w:color w:val="000000"/>
          <w:sz w:val="20"/>
          <w:szCs w:val="20"/>
          <w:lang w:eastAsia="pl-PL"/>
        </w:rPr>
        <w:t>Rezystancja izolacji w stanie zimnym (20°C) nie może być niższa niż 236 MΩ .</w:t>
      </w:r>
    </w:p>
    <w:p w:rsidR="00F316B2" w:rsidRPr="00E9443C" w:rsidRDefault="00F316B2" w:rsidP="00F316B2">
      <w:pPr>
        <w:numPr>
          <w:ilvl w:val="1"/>
          <w:numId w:val="16"/>
        </w:numPr>
        <w:suppressAutoHyphens w:val="0"/>
        <w:spacing w:after="200" w:line="276" w:lineRule="auto"/>
        <w:ind w:left="567" w:hanging="567"/>
        <w:contextualSpacing/>
        <w:jc w:val="both"/>
        <w:textAlignment w:val="baseline"/>
        <w:rPr>
          <w:rFonts w:ascii="Calibri" w:hAnsi="Calibri" w:cs="Calibri"/>
          <w:color w:val="000000"/>
          <w:sz w:val="20"/>
          <w:szCs w:val="20"/>
          <w:lang w:eastAsia="pl-PL"/>
        </w:rPr>
      </w:pPr>
      <w:r w:rsidRPr="00E9443C">
        <w:rPr>
          <w:rFonts w:ascii="Calibri" w:hAnsi="Calibri" w:cs="Calibri"/>
          <w:color w:val="000000"/>
          <w:sz w:val="20"/>
          <w:szCs w:val="20"/>
          <w:lang w:eastAsia="pl-PL"/>
        </w:rPr>
        <w:t xml:space="preserve">Rezystancja uzwojenia mierzona w temperaturze pokojowej 20°C powinna wynosić od 285,72 do 315,80 </w:t>
      </w:r>
      <w:r>
        <w:rPr>
          <w:rFonts w:ascii="Calibri" w:hAnsi="Calibri" w:cs="Calibri"/>
          <w:color w:val="000000"/>
          <w:sz w:val="20"/>
          <w:szCs w:val="20"/>
          <w:lang w:eastAsia="pl-PL"/>
        </w:rPr>
        <w:t>m</w:t>
      </w:r>
      <w:r w:rsidRPr="00E9443C">
        <w:rPr>
          <w:rFonts w:ascii="Calibri" w:hAnsi="Calibri" w:cs="Calibri"/>
          <w:color w:val="000000"/>
          <w:sz w:val="20"/>
          <w:szCs w:val="20"/>
          <w:lang w:eastAsia="pl-PL"/>
        </w:rPr>
        <w:t xml:space="preserve">Ω. Pomiar należy wykonać pomiędzy fazami. </w:t>
      </w:r>
    </w:p>
    <w:p w:rsidR="00F316B2" w:rsidRPr="00E9443C" w:rsidRDefault="00F316B2" w:rsidP="00F316B2">
      <w:pPr>
        <w:numPr>
          <w:ilvl w:val="1"/>
          <w:numId w:val="16"/>
        </w:numPr>
        <w:suppressAutoHyphens w:val="0"/>
        <w:spacing w:after="200" w:line="276" w:lineRule="auto"/>
        <w:ind w:left="567" w:hanging="567"/>
        <w:contextualSpacing/>
        <w:jc w:val="both"/>
        <w:textAlignment w:val="baseline"/>
        <w:rPr>
          <w:rFonts w:ascii="Calibri" w:hAnsi="Calibri" w:cs="Calibri"/>
          <w:color w:val="000000"/>
          <w:sz w:val="20"/>
          <w:szCs w:val="20"/>
          <w:lang w:eastAsia="pl-PL"/>
        </w:rPr>
      </w:pPr>
      <w:r w:rsidRPr="00E9443C">
        <w:rPr>
          <w:rFonts w:ascii="Calibri" w:hAnsi="Calibri" w:cs="Calibri"/>
          <w:color w:val="000000"/>
          <w:sz w:val="20"/>
          <w:szCs w:val="20"/>
          <w:lang w:eastAsia="pl-PL"/>
        </w:rPr>
        <w:t>Rezystancja czujnika temperatury (w temperaturze 20°C) powinna wynosić 107,8Ω.</w:t>
      </w:r>
    </w:p>
    <w:p w:rsidR="00F316B2" w:rsidRPr="00E9443C" w:rsidRDefault="00F316B2" w:rsidP="00F316B2">
      <w:pPr>
        <w:numPr>
          <w:ilvl w:val="1"/>
          <w:numId w:val="16"/>
        </w:numPr>
        <w:suppressAutoHyphens w:val="0"/>
        <w:spacing w:after="200" w:line="276" w:lineRule="auto"/>
        <w:ind w:left="567" w:hanging="567"/>
        <w:contextualSpacing/>
        <w:jc w:val="both"/>
        <w:textAlignment w:val="baseline"/>
        <w:rPr>
          <w:rFonts w:ascii="Calibri" w:hAnsi="Calibri" w:cs="Calibri"/>
          <w:color w:val="000000"/>
          <w:sz w:val="20"/>
          <w:szCs w:val="20"/>
          <w:lang w:eastAsia="pl-PL"/>
        </w:rPr>
      </w:pPr>
      <w:r w:rsidRPr="00E9443C">
        <w:rPr>
          <w:rFonts w:ascii="Calibri" w:hAnsi="Calibri" w:cs="Calibri"/>
          <w:color w:val="000000"/>
          <w:sz w:val="20"/>
          <w:szCs w:val="20"/>
          <w:lang w:eastAsia="pl-PL"/>
        </w:rPr>
        <w:t>Sprawdzić stan czujnika obrotów oraz stan zębów koła zębatego znajdującego się w pokrywie od strony NDE.</w:t>
      </w:r>
    </w:p>
    <w:p w:rsidR="00F316B2" w:rsidRDefault="00F316B2" w:rsidP="00F316B2">
      <w:pPr>
        <w:numPr>
          <w:ilvl w:val="1"/>
          <w:numId w:val="16"/>
        </w:numPr>
        <w:suppressAutoHyphens w:val="0"/>
        <w:spacing w:after="200" w:line="276" w:lineRule="auto"/>
        <w:ind w:left="567" w:hanging="567"/>
        <w:contextualSpacing/>
        <w:jc w:val="both"/>
        <w:textAlignment w:val="baseline"/>
        <w:rPr>
          <w:rFonts w:ascii="Calibri" w:hAnsi="Calibri" w:cs="Calibri"/>
          <w:color w:val="000000"/>
          <w:sz w:val="20"/>
          <w:szCs w:val="20"/>
          <w:lang w:eastAsia="pl-PL"/>
        </w:rPr>
      </w:pPr>
      <w:r w:rsidRPr="00370BAA">
        <w:rPr>
          <w:rFonts w:ascii="Calibri" w:hAnsi="Calibri" w:cs="Calibri"/>
          <w:color w:val="000000"/>
          <w:sz w:val="20"/>
          <w:szCs w:val="20"/>
          <w:lang w:eastAsia="pl-PL"/>
        </w:rPr>
        <w:t>Podczas ponownego montażu podzespołów należy przestrzegać określonych momentów dokręcania śrub oraz zastosować uszczelniacz i klej do śrub. Na nieprzelotowe otwory należy nałożyć klej do blokowania śrubo średniej wytrzymałości  (nawilżenie ok. 90%), natomiast w przypadku przelotowych otworów gwintowanych klej należy nałożyć na gwint śruby. </w:t>
      </w:r>
    </w:p>
    <w:p w:rsidR="00F316B2" w:rsidRPr="005007F8" w:rsidRDefault="00F316B2" w:rsidP="00F316B2">
      <w:pPr>
        <w:pStyle w:val="Akapitzlist"/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7" w:hanging="567"/>
        <w:rPr>
          <w:rFonts w:ascii="Calibri" w:eastAsia="Calibri" w:hAnsi="Calibri" w:cs="Calibri"/>
          <w:sz w:val="20"/>
          <w:szCs w:val="18"/>
        </w:rPr>
      </w:pPr>
      <w:r w:rsidRPr="005007F8">
        <w:rPr>
          <w:rFonts w:ascii="Calibri" w:eastAsia="Calibri" w:hAnsi="Calibri" w:cs="Calibri"/>
          <w:sz w:val="20"/>
          <w:szCs w:val="18"/>
        </w:rPr>
        <w:t>Po wdrożeniu silnika należy wykonać: próbę zwarcia, próbę mechaniczną na zwiększone obroty, próbę obciążenia do uzyskania parametrów znamionowych silnika oraz w przypadku przezwojenia stojana, bezwarunkowo - przeciążenia prądem (120% na 2 minuty). Wyniki w/w prób należy odnotować w karcie pomiarowej.</w:t>
      </w:r>
    </w:p>
    <w:p w:rsidR="00F316B2" w:rsidRPr="00370BAA" w:rsidRDefault="00F316B2" w:rsidP="00F316B2">
      <w:pPr>
        <w:numPr>
          <w:ilvl w:val="1"/>
          <w:numId w:val="16"/>
        </w:numPr>
        <w:suppressAutoHyphens w:val="0"/>
        <w:spacing w:after="200" w:line="276" w:lineRule="auto"/>
        <w:ind w:left="567" w:hanging="567"/>
        <w:contextualSpacing/>
        <w:jc w:val="both"/>
        <w:textAlignment w:val="baseline"/>
        <w:rPr>
          <w:rFonts w:ascii="Calibri" w:hAnsi="Calibri" w:cs="Calibri"/>
          <w:color w:val="000000"/>
          <w:sz w:val="20"/>
          <w:szCs w:val="20"/>
          <w:lang w:eastAsia="pl-PL"/>
        </w:rPr>
      </w:pPr>
      <w:r w:rsidRPr="00370BAA">
        <w:rPr>
          <w:rFonts w:ascii="Calibri" w:hAnsi="Calibri" w:cs="Calibri"/>
          <w:color w:val="000000"/>
          <w:sz w:val="20"/>
          <w:szCs w:val="20"/>
          <w:lang w:eastAsia="pl-PL"/>
        </w:rPr>
        <w:t xml:space="preserve">Zamawiający wymaga stosowania przewodów zasilających o typie i przekroju zalecanym przez Producenta silnika. </w:t>
      </w:r>
    </w:p>
    <w:p w:rsidR="00F316B2" w:rsidRPr="00E9443C" w:rsidRDefault="00F316B2" w:rsidP="00F316B2">
      <w:pPr>
        <w:numPr>
          <w:ilvl w:val="1"/>
          <w:numId w:val="16"/>
        </w:numPr>
        <w:suppressAutoHyphens w:val="0"/>
        <w:spacing w:after="200" w:line="276" w:lineRule="auto"/>
        <w:ind w:left="567" w:hanging="567"/>
        <w:contextualSpacing/>
        <w:jc w:val="both"/>
        <w:textAlignment w:val="baseline"/>
        <w:rPr>
          <w:rFonts w:ascii="Calibri" w:hAnsi="Calibri" w:cs="Calibri"/>
          <w:color w:val="000000"/>
          <w:sz w:val="20"/>
          <w:szCs w:val="20"/>
          <w:lang w:eastAsia="pl-PL"/>
        </w:rPr>
      </w:pPr>
      <w:r w:rsidRPr="00E9443C">
        <w:rPr>
          <w:rFonts w:ascii="Calibri" w:hAnsi="Calibri" w:cs="Calibri"/>
          <w:color w:val="000000"/>
          <w:sz w:val="20"/>
          <w:szCs w:val="20"/>
          <w:lang w:eastAsia="pl-PL"/>
        </w:rPr>
        <w:t>Materiały i części wykorzystywane do naprawy powinny być zgodne z dokumentacją konstrukcyjną dla danego podzespołu. W przypadku materiałów lub części innych niż określone w dokumentacji konstrukcyjnej przed ich zastosowaniem należy uzyskać akceptację Zamawiającego</w:t>
      </w:r>
    </w:p>
    <w:p w:rsidR="00F316B2" w:rsidRPr="00E9443C" w:rsidRDefault="00F316B2" w:rsidP="00F316B2">
      <w:pPr>
        <w:numPr>
          <w:ilvl w:val="1"/>
          <w:numId w:val="16"/>
        </w:numPr>
        <w:suppressAutoHyphens w:val="0"/>
        <w:spacing w:after="200" w:line="276" w:lineRule="auto"/>
        <w:ind w:left="567" w:hanging="567"/>
        <w:contextualSpacing/>
        <w:jc w:val="both"/>
        <w:textAlignment w:val="baseline"/>
        <w:rPr>
          <w:rFonts w:ascii="Calibri" w:hAnsi="Calibri" w:cs="Calibri"/>
          <w:color w:val="000000"/>
          <w:sz w:val="20"/>
          <w:szCs w:val="20"/>
          <w:lang w:eastAsia="pl-PL"/>
        </w:rPr>
      </w:pPr>
      <w:r w:rsidRPr="00E9443C">
        <w:rPr>
          <w:rFonts w:ascii="Calibri" w:hAnsi="Calibri" w:cs="Calibri"/>
          <w:color w:val="000000"/>
          <w:sz w:val="20"/>
          <w:szCs w:val="20"/>
          <w:lang w:eastAsia="pl-PL"/>
        </w:rPr>
        <w:t>Cechy na przewodach, opisy zacisków w skrzynkach połączeniowych oraz opisy i znaki ostrzegawcze powinny być wykonane w sposób: czytelny, widoczny i trwały, zgodnie dokumentacją konstrukcyjną Wytwórcy.</w:t>
      </w:r>
    </w:p>
    <w:p w:rsidR="00F316B2" w:rsidRPr="00E9443C" w:rsidRDefault="00F316B2" w:rsidP="00F316B2">
      <w:pPr>
        <w:numPr>
          <w:ilvl w:val="1"/>
          <w:numId w:val="16"/>
        </w:numPr>
        <w:suppressAutoHyphens w:val="0"/>
        <w:spacing w:after="200" w:line="276" w:lineRule="auto"/>
        <w:ind w:left="567" w:hanging="567"/>
        <w:contextualSpacing/>
        <w:jc w:val="both"/>
        <w:textAlignment w:val="baseline"/>
        <w:rPr>
          <w:rFonts w:ascii="Calibri" w:hAnsi="Calibri" w:cs="Calibri"/>
          <w:color w:val="000000"/>
          <w:sz w:val="20"/>
          <w:szCs w:val="20"/>
          <w:lang w:eastAsia="pl-PL"/>
        </w:rPr>
      </w:pPr>
      <w:r w:rsidRPr="00E9443C">
        <w:rPr>
          <w:rFonts w:ascii="Calibri" w:hAnsi="Calibri" w:cs="Calibri"/>
          <w:color w:val="000000"/>
          <w:sz w:val="20"/>
          <w:szCs w:val="20"/>
          <w:lang w:eastAsia="pl-PL"/>
        </w:rPr>
        <w:t>Ochrona antykorozyjna powinna być wykonana zgodnie ze specyfikacją malowania danego typu silnika. </w:t>
      </w:r>
    </w:p>
    <w:p w:rsidR="00F316B2" w:rsidRPr="00E9443C" w:rsidRDefault="00F316B2" w:rsidP="00F316B2">
      <w:pPr>
        <w:numPr>
          <w:ilvl w:val="1"/>
          <w:numId w:val="16"/>
        </w:numPr>
        <w:suppressAutoHyphens w:val="0"/>
        <w:spacing w:after="200" w:line="276" w:lineRule="auto"/>
        <w:ind w:left="567" w:hanging="567"/>
        <w:contextualSpacing/>
        <w:jc w:val="both"/>
        <w:textAlignment w:val="baseline"/>
        <w:rPr>
          <w:rFonts w:ascii="Calibri" w:hAnsi="Calibri" w:cs="Calibri"/>
          <w:color w:val="000000"/>
          <w:sz w:val="20"/>
          <w:szCs w:val="20"/>
          <w:lang w:eastAsia="pl-PL"/>
        </w:rPr>
      </w:pPr>
      <w:r w:rsidRPr="00E9443C">
        <w:rPr>
          <w:rFonts w:ascii="Calibri" w:hAnsi="Calibri" w:cs="Calibri"/>
          <w:color w:val="000000"/>
          <w:sz w:val="20"/>
          <w:szCs w:val="20"/>
          <w:lang w:eastAsia="pl-PL"/>
        </w:rPr>
        <w:t xml:space="preserve">W przypadku nieczytelnej tabliczki znamionowej należy zastosować tabliczkę znamionową zastępczą z wszystkimi danymi silnika wg normy. Starej tabliczki nie należy demontować. </w:t>
      </w:r>
    </w:p>
    <w:p w:rsidR="00F316B2" w:rsidRPr="00E9443C" w:rsidRDefault="00F316B2" w:rsidP="00F316B2">
      <w:pPr>
        <w:numPr>
          <w:ilvl w:val="1"/>
          <w:numId w:val="16"/>
        </w:numPr>
        <w:suppressAutoHyphens w:val="0"/>
        <w:spacing w:after="200" w:line="276" w:lineRule="auto"/>
        <w:ind w:left="567" w:hanging="567"/>
        <w:contextualSpacing/>
        <w:jc w:val="both"/>
        <w:textAlignment w:val="baseline"/>
        <w:rPr>
          <w:rFonts w:ascii="Calibri" w:hAnsi="Calibri" w:cs="Calibri"/>
          <w:color w:val="000000"/>
          <w:sz w:val="20"/>
          <w:szCs w:val="20"/>
          <w:lang w:eastAsia="pl-PL"/>
        </w:rPr>
      </w:pPr>
      <w:r w:rsidRPr="00E9443C">
        <w:rPr>
          <w:rFonts w:ascii="Calibri" w:hAnsi="Calibri" w:cs="Calibri"/>
          <w:color w:val="000000"/>
          <w:sz w:val="20"/>
          <w:szCs w:val="20"/>
          <w:lang w:eastAsia="pl-PL"/>
        </w:rPr>
        <w:t>Wymiana wszystkich normaliów (podkładki, śruby, zawleczki, zaślepki) obowiązuje w zakresie podstawowym naprawy.</w:t>
      </w:r>
      <w:r>
        <w:rPr>
          <w:rFonts w:ascii="Calibri" w:hAnsi="Calibri" w:cs="Calibri"/>
          <w:color w:val="000000"/>
          <w:sz w:val="20"/>
          <w:szCs w:val="20"/>
          <w:lang w:eastAsia="pl-PL"/>
        </w:rPr>
        <w:t xml:space="preserve"> </w:t>
      </w:r>
      <w:r w:rsidRPr="005007F8">
        <w:rPr>
          <w:rFonts w:ascii="Calibri" w:eastAsia="Calibri" w:hAnsi="Calibri" w:cs="Calibri"/>
          <w:sz w:val="20"/>
          <w:szCs w:val="18"/>
        </w:rPr>
        <w:t>Podkładki; sprężynowe, specjalne i zawleczki muszą być wymienione na nowe obligatoryjnie.</w:t>
      </w:r>
    </w:p>
    <w:p w:rsidR="00F316B2" w:rsidRPr="00E9443C" w:rsidRDefault="00F316B2" w:rsidP="00F316B2">
      <w:pPr>
        <w:numPr>
          <w:ilvl w:val="1"/>
          <w:numId w:val="16"/>
        </w:numPr>
        <w:suppressAutoHyphens w:val="0"/>
        <w:spacing w:after="200" w:line="276" w:lineRule="auto"/>
        <w:ind w:left="567" w:hanging="567"/>
        <w:contextualSpacing/>
        <w:jc w:val="both"/>
        <w:textAlignment w:val="baseline"/>
        <w:rPr>
          <w:rFonts w:ascii="Calibri" w:hAnsi="Calibri" w:cs="Calibri"/>
          <w:color w:val="000000"/>
          <w:sz w:val="20"/>
          <w:szCs w:val="20"/>
          <w:lang w:eastAsia="pl-PL"/>
        </w:rPr>
      </w:pPr>
      <w:r w:rsidRPr="00E9443C">
        <w:rPr>
          <w:rFonts w:ascii="Calibri" w:hAnsi="Calibri" w:cs="Calibri"/>
          <w:color w:val="000000"/>
          <w:sz w:val="20"/>
          <w:szCs w:val="20"/>
          <w:lang w:eastAsia="pl-PL"/>
        </w:rPr>
        <w:t>Części odzyskane w trakcie naprawy stanowią własność Zamawiającego i Wykonawca przekazuje je wraz z silnikiem po przeglądzie.</w:t>
      </w:r>
    </w:p>
    <w:p w:rsidR="00F316B2" w:rsidRPr="00E9443C" w:rsidRDefault="00F316B2" w:rsidP="00F316B2">
      <w:pPr>
        <w:numPr>
          <w:ilvl w:val="1"/>
          <w:numId w:val="16"/>
        </w:numPr>
        <w:suppressAutoHyphens w:val="0"/>
        <w:spacing w:after="200" w:line="276" w:lineRule="auto"/>
        <w:ind w:left="567" w:hanging="567"/>
        <w:contextualSpacing/>
        <w:jc w:val="both"/>
        <w:textAlignment w:val="baseline"/>
        <w:rPr>
          <w:rFonts w:ascii="Calibri" w:hAnsi="Calibri" w:cs="Calibri"/>
          <w:color w:val="000000"/>
          <w:sz w:val="20"/>
          <w:szCs w:val="20"/>
          <w:lang w:eastAsia="pl-PL"/>
        </w:rPr>
      </w:pPr>
      <w:r w:rsidRPr="00E9443C">
        <w:rPr>
          <w:rFonts w:ascii="Calibri" w:hAnsi="Calibri" w:cs="Calibri"/>
          <w:color w:val="000000"/>
          <w:sz w:val="20"/>
          <w:szCs w:val="20"/>
          <w:lang w:eastAsia="pl-PL"/>
        </w:rPr>
        <w:t>Silnik  zdemontowany z przekładni powinien być transportowany z blokadą transportową wału wirnika.</w:t>
      </w:r>
    </w:p>
    <w:p w:rsidR="00F316B2" w:rsidRPr="00E9443C" w:rsidRDefault="00F316B2" w:rsidP="00F316B2">
      <w:pPr>
        <w:numPr>
          <w:ilvl w:val="1"/>
          <w:numId w:val="16"/>
        </w:numPr>
        <w:suppressAutoHyphens w:val="0"/>
        <w:spacing w:after="200" w:line="276" w:lineRule="auto"/>
        <w:ind w:left="567" w:hanging="567"/>
        <w:contextualSpacing/>
        <w:jc w:val="both"/>
        <w:textAlignment w:val="baseline"/>
        <w:rPr>
          <w:rFonts w:ascii="Calibri" w:hAnsi="Calibri" w:cs="Calibri"/>
          <w:color w:val="000000"/>
          <w:sz w:val="20"/>
          <w:szCs w:val="20"/>
          <w:lang w:eastAsia="pl-PL"/>
        </w:rPr>
      </w:pPr>
      <w:r w:rsidRPr="00E9443C">
        <w:rPr>
          <w:rFonts w:ascii="Calibri" w:hAnsi="Calibri" w:cs="Calibri"/>
          <w:color w:val="000000"/>
          <w:sz w:val="20"/>
          <w:szCs w:val="20"/>
          <w:lang w:eastAsia="pl-PL"/>
        </w:rPr>
        <w:t xml:space="preserve">Silniki trakcyjne po naprawie podlegają odbiorowi komisarycznemu. Odbioru komisarycznego przedmiotu Umowy dokonywać będzie Komisarz Odbiorczy wraz z upoważnionym przedstawicielem Wykonawcy. Dla potwierdzenia odbioru Wykonawca wystawi dokument kontroli – świadectwo odbioru 3.2 w zakresie zgodnym z ust. 4 pkt 4.2 normy PN-EN 10204:2006, po wcześniejszym przedstawieniu </w:t>
      </w:r>
      <w:r w:rsidRPr="00E9443C">
        <w:rPr>
          <w:rFonts w:ascii="Calibri" w:hAnsi="Calibri" w:cs="Calibri"/>
          <w:color w:val="000000"/>
          <w:sz w:val="20"/>
          <w:szCs w:val="20"/>
          <w:lang w:eastAsia="pl-PL"/>
        </w:rPr>
        <w:lastRenderedPageBreak/>
        <w:t>przez Wykonawcę: protokołów pomiarów i badań oraz atestów lub certyfikatów jakościowych od producentów, na użyte materiały.</w:t>
      </w:r>
    </w:p>
    <w:p w:rsidR="00F316B2" w:rsidRPr="00E9443C" w:rsidRDefault="00F316B2" w:rsidP="00F316B2">
      <w:pPr>
        <w:numPr>
          <w:ilvl w:val="1"/>
          <w:numId w:val="16"/>
        </w:numPr>
        <w:suppressAutoHyphens w:val="0"/>
        <w:spacing w:after="200" w:line="276" w:lineRule="auto"/>
        <w:ind w:left="567" w:hanging="567"/>
        <w:contextualSpacing/>
        <w:jc w:val="both"/>
        <w:textAlignment w:val="baseline"/>
        <w:rPr>
          <w:rFonts w:ascii="Calibri" w:hAnsi="Calibri" w:cs="Calibri"/>
          <w:color w:val="000000"/>
          <w:sz w:val="20"/>
          <w:szCs w:val="20"/>
          <w:lang w:eastAsia="pl-PL"/>
        </w:rPr>
      </w:pPr>
      <w:r w:rsidRPr="00E9443C">
        <w:rPr>
          <w:rFonts w:ascii="Calibri" w:hAnsi="Calibri" w:cs="Calibri"/>
          <w:color w:val="000000"/>
          <w:sz w:val="20"/>
          <w:szCs w:val="20"/>
          <w:lang w:eastAsia="pl-PL"/>
        </w:rPr>
        <w:t xml:space="preserve">Miejscem odbiorów komisarycznych jest miejsce wskazane przez Wykonawcę, w którym  Wykonawca składuje przedmiot Umowy przed jego dostarczeniem do Zamawiającego. Komisarz dokonuje odbioru na podstawie zatwierdzonego </w:t>
      </w:r>
      <w:proofErr w:type="spellStart"/>
      <w:r w:rsidRPr="00E9443C">
        <w:rPr>
          <w:rFonts w:ascii="Calibri" w:hAnsi="Calibri" w:cs="Calibri"/>
          <w:color w:val="000000"/>
          <w:sz w:val="20"/>
          <w:szCs w:val="20"/>
          <w:lang w:eastAsia="pl-PL"/>
        </w:rPr>
        <w:t>WTWiO</w:t>
      </w:r>
      <w:proofErr w:type="spellEnd"/>
      <w:r w:rsidRPr="00E9443C">
        <w:rPr>
          <w:rFonts w:ascii="Calibri" w:hAnsi="Calibri" w:cs="Calibri"/>
          <w:color w:val="000000"/>
          <w:sz w:val="20"/>
          <w:szCs w:val="20"/>
          <w:lang w:eastAsia="pl-PL"/>
        </w:rPr>
        <w:t xml:space="preserve"> oraz po przedstawieniu wszystkich kart pomiarowych, atestów na materiały oraz Certyfikatów na użyte części. </w:t>
      </w:r>
    </w:p>
    <w:p w:rsidR="00F316B2" w:rsidRPr="00E9443C" w:rsidRDefault="00F316B2" w:rsidP="00F316B2">
      <w:pPr>
        <w:suppressAutoHyphens w:val="0"/>
        <w:rPr>
          <w:sz w:val="24"/>
          <w:szCs w:val="24"/>
          <w:lang w:eastAsia="pl-PL"/>
        </w:rPr>
      </w:pPr>
    </w:p>
    <w:p w:rsidR="00F316B2" w:rsidRPr="00E9443C" w:rsidRDefault="00F316B2" w:rsidP="00F316B2">
      <w:pPr>
        <w:numPr>
          <w:ilvl w:val="0"/>
          <w:numId w:val="11"/>
        </w:numPr>
        <w:suppressAutoHyphens w:val="0"/>
        <w:spacing w:after="200" w:line="276" w:lineRule="auto"/>
        <w:jc w:val="both"/>
        <w:textAlignment w:val="baseline"/>
        <w:rPr>
          <w:rFonts w:ascii="Calibri" w:hAnsi="Calibri" w:cs="Calibri"/>
          <w:b/>
          <w:bCs/>
          <w:color w:val="000000"/>
          <w:sz w:val="20"/>
          <w:szCs w:val="20"/>
          <w:lang w:eastAsia="pl-PL"/>
        </w:rPr>
      </w:pPr>
      <w:r w:rsidRPr="00E9443C">
        <w:rPr>
          <w:rFonts w:ascii="Calibri" w:hAnsi="Calibri" w:cs="Calibri"/>
          <w:b/>
          <w:bCs/>
          <w:color w:val="000000"/>
          <w:sz w:val="20"/>
          <w:szCs w:val="20"/>
          <w:lang w:eastAsia="pl-PL"/>
        </w:rPr>
        <w:t>Dokumenty związane z przedmiotem zamówienia.</w:t>
      </w:r>
    </w:p>
    <w:p w:rsidR="00F316B2" w:rsidRPr="00E9443C" w:rsidRDefault="00F316B2" w:rsidP="00F316B2">
      <w:pPr>
        <w:numPr>
          <w:ilvl w:val="1"/>
          <w:numId w:val="6"/>
        </w:numPr>
        <w:suppressAutoHyphens w:val="0"/>
        <w:spacing w:before="280" w:after="200" w:line="276" w:lineRule="auto"/>
        <w:ind w:hanging="578"/>
        <w:contextualSpacing/>
        <w:jc w:val="both"/>
        <w:textAlignment w:val="baseline"/>
        <w:rPr>
          <w:rFonts w:ascii="Calibri" w:hAnsi="Calibri" w:cs="Calibri"/>
          <w:color w:val="000000"/>
          <w:sz w:val="20"/>
          <w:szCs w:val="20"/>
          <w:lang w:eastAsia="pl-PL"/>
        </w:rPr>
      </w:pPr>
      <w:r w:rsidRPr="00E9443C">
        <w:rPr>
          <w:rFonts w:ascii="Calibri" w:hAnsi="Calibri" w:cs="Calibri"/>
          <w:color w:val="000000"/>
          <w:sz w:val="20"/>
          <w:szCs w:val="20"/>
          <w:lang w:eastAsia="pl-PL"/>
        </w:rPr>
        <w:t>PN-N-01359 Drgania mechaniczne, Wyważanie wirników sztywnych, Wyznaczanie dopuszczalnego niewyważenia resztkowego.</w:t>
      </w:r>
    </w:p>
    <w:p w:rsidR="00F316B2" w:rsidRPr="00E9443C" w:rsidRDefault="00BE54A8" w:rsidP="00F316B2">
      <w:pPr>
        <w:numPr>
          <w:ilvl w:val="1"/>
          <w:numId w:val="6"/>
        </w:numPr>
        <w:suppressAutoHyphens w:val="0"/>
        <w:spacing w:before="280" w:after="200" w:line="276" w:lineRule="auto"/>
        <w:ind w:hanging="578"/>
        <w:contextualSpacing/>
        <w:jc w:val="both"/>
        <w:textAlignment w:val="baseline"/>
        <w:rPr>
          <w:rFonts w:ascii="Calibri" w:hAnsi="Calibri" w:cs="Calibri"/>
          <w:color w:val="000000"/>
          <w:sz w:val="20"/>
          <w:szCs w:val="20"/>
          <w:lang w:eastAsia="pl-PL"/>
        </w:rPr>
      </w:pPr>
      <w:hyperlink r:id="rId6" w:history="1">
        <w:r w:rsidR="00F316B2" w:rsidRPr="00E9443C">
          <w:rPr>
            <w:rFonts w:ascii="Calibri" w:hAnsi="Calibri" w:cs="Calibri"/>
            <w:color w:val="000000"/>
            <w:sz w:val="20"/>
            <w:szCs w:val="20"/>
            <w:lang w:eastAsia="pl-PL"/>
          </w:rPr>
          <w:t>PN-EN 60034-1:2011</w:t>
        </w:r>
      </w:hyperlink>
      <w:r w:rsidR="00F316B2" w:rsidRPr="00E9443C">
        <w:rPr>
          <w:rFonts w:ascii="Calibri" w:hAnsi="Calibri" w:cs="Calibri"/>
          <w:color w:val="000000"/>
          <w:sz w:val="20"/>
          <w:szCs w:val="20"/>
          <w:lang w:eastAsia="pl-PL"/>
        </w:rPr>
        <w:t xml:space="preserve"> </w:t>
      </w:r>
      <w:hyperlink r:id="rId7" w:history="1">
        <w:r w:rsidR="00F316B2" w:rsidRPr="00E9443C">
          <w:rPr>
            <w:rFonts w:ascii="Calibri" w:hAnsi="Calibri" w:cs="Calibri"/>
            <w:color w:val="000000"/>
            <w:sz w:val="20"/>
            <w:szCs w:val="20"/>
            <w:lang w:eastAsia="pl-PL"/>
          </w:rPr>
          <w:t>Maszyny elektryczne wirujące - Część 1: Dane znamionowe i parametry</w:t>
        </w:r>
      </w:hyperlink>
      <w:r w:rsidR="00F316B2" w:rsidRPr="00E9443C">
        <w:rPr>
          <w:rFonts w:ascii="Calibri" w:hAnsi="Calibri" w:cs="Calibri"/>
          <w:color w:val="000000"/>
          <w:sz w:val="20"/>
          <w:szCs w:val="20"/>
          <w:lang w:eastAsia="pl-PL"/>
        </w:rPr>
        <w:t>. </w:t>
      </w:r>
    </w:p>
    <w:p w:rsidR="00F316B2" w:rsidRPr="00E9443C" w:rsidRDefault="00BE54A8" w:rsidP="00F316B2">
      <w:pPr>
        <w:numPr>
          <w:ilvl w:val="1"/>
          <w:numId w:val="6"/>
        </w:numPr>
        <w:suppressAutoHyphens w:val="0"/>
        <w:spacing w:before="280" w:after="200" w:line="276" w:lineRule="auto"/>
        <w:ind w:hanging="578"/>
        <w:contextualSpacing/>
        <w:jc w:val="both"/>
        <w:textAlignment w:val="baseline"/>
        <w:rPr>
          <w:rFonts w:ascii="Calibri" w:hAnsi="Calibri" w:cs="Calibri"/>
          <w:color w:val="000000"/>
          <w:sz w:val="20"/>
          <w:szCs w:val="20"/>
          <w:lang w:eastAsia="pl-PL"/>
        </w:rPr>
      </w:pPr>
      <w:hyperlink r:id="rId8" w:history="1">
        <w:r w:rsidR="00F316B2" w:rsidRPr="00E9443C">
          <w:rPr>
            <w:rFonts w:ascii="Calibri" w:hAnsi="Calibri" w:cs="Calibri"/>
            <w:color w:val="000000"/>
            <w:sz w:val="20"/>
            <w:szCs w:val="20"/>
            <w:lang w:eastAsia="pl-PL"/>
          </w:rPr>
          <w:t>PN-E-06001</w:t>
        </w:r>
      </w:hyperlink>
      <w:r w:rsidR="00F316B2" w:rsidRPr="00E9443C">
        <w:rPr>
          <w:rFonts w:ascii="Calibri" w:hAnsi="Calibri" w:cs="Calibri"/>
          <w:color w:val="000000"/>
          <w:sz w:val="20"/>
          <w:szCs w:val="20"/>
          <w:lang w:eastAsia="pl-PL"/>
        </w:rPr>
        <w:t xml:space="preserve"> 1994 </w:t>
      </w:r>
      <w:hyperlink r:id="rId9" w:history="1">
        <w:r w:rsidR="00F316B2" w:rsidRPr="00E9443C">
          <w:rPr>
            <w:rFonts w:ascii="Calibri" w:hAnsi="Calibri" w:cs="Calibri"/>
            <w:color w:val="000000"/>
            <w:sz w:val="20"/>
            <w:szCs w:val="20"/>
            <w:lang w:eastAsia="pl-PL"/>
          </w:rPr>
          <w:t xml:space="preserve">Trakcja elektryczna - Elektryczne maszyny wirujące do pojazdów szynowych </w:t>
        </w:r>
        <w:r w:rsidR="00F316B2" w:rsidRPr="00E9443C">
          <w:rPr>
            <w:rFonts w:ascii="Calibri" w:hAnsi="Calibri" w:cs="Calibri"/>
            <w:color w:val="000000"/>
            <w:sz w:val="20"/>
            <w:szCs w:val="20"/>
            <w:lang w:eastAsia="pl-PL"/>
          </w:rPr>
          <w:br/>
          <w:t>i drogowych</w:t>
        </w:r>
      </w:hyperlink>
      <w:r w:rsidR="00F316B2" w:rsidRPr="00E9443C">
        <w:rPr>
          <w:rFonts w:ascii="Calibri" w:hAnsi="Calibri" w:cs="Calibri"/>
          <w:color w:val="000000"/>
          <w:sz w:val="20"/>
          <w:szCs w:val="20"/>
          <w:lang w:eastAsia="pl-PL"/>
        </w:rPr>
        <w:t>.</w:t>
      </w:r>
    </w:p>
    <w:p w:rsidR="00F316B2" w:rsidRPr="00E9443C" w:rsidRDefault="00F316B2" w:rsidP="00F316B2">
      <w:pPr>
        <w:numPr>
          <w:ilvl w:val="1"/>
          <w:numId w:val="6"/>
        </w:numPr>
        <w:suppressAutoHyphens w:val="0"/>
        <w:spacing w:after="200" w:line="276" w:lineRule="auto"/>
        <w:ind w:hanging="578"/>
        <w:contextualSpacing/>
        <w:rPr>
          <w:rFonts w:ascii="Calibri" w:hAnsi="Calibri" w:cs="Calibri"/>
          <w:color w:val="000000"/>
          <w:sz w:val="20"/>
          <w:szCs w:val="20"/>
          <w:lang w:eastAsia="pl-PL"/>
        </w:rPr>
      </w:pPr>
      <w:r w:rsidRPr="00E9443C">
        <w:rPr>
          <w:rFonts w:ascii="Calibri" w:hAnsi="Calibri" w:cs="Calibri"/>
          <w:color w:val="000000"/>
          <w:sz w:val="20"/>
          <w:szCs w:val="20"/>
          <w:lang w:eastAsia="pl-PL"/>
        </w:rPr>
        <w:t>PN-EN 45545-2+A1. Kolejnictwo -- Ochrona przeciwpożarowa w pojazdach szynowych -- Część 2: Wymagania dla materiałów i elementów w zakresie właściwości ogniowych.</w:t>
      </w:r>
    </w:p>
    <w:p w:rsidR="00F316B2" w:rsidRPr="00E9443C" w:rsidRDefault="00F316B2" w:rsidP="00F316B2">
      <w:pPr>
        <w:numPr>
          <w:ilvl w:val="1"/>
          <w:numId w:val="6"/>
        </w:numPr>
        <w:suppressAutoHyphens w:val="0"/>
        <w:spacing w:before="280" w:after="200" w:line="276" w:lineRule="auto"/>
        <w:ind w:hanging="578"/>
        <w:contextualSpacing/>
        <w:jc w:val="both"/>
        <w:textAlignment w:val="baseline"/>
        <w:rPr>
          <w:rFonts w:ascii="Calibri" w:hAnsi="Calibri" w:cs="Calibri"/>
          <w:color w:val="000000"/>
          <w:sz w:val="20"/>
          <w:szCs w:val="20"/>
          <w:lang w:eastAsia="pl-PL"/>
        </w:rPr>
      </w:pPr>
      <w:r w:rsidRPr="00E9443C">
        <w:rPr>
          <w:rFonts w:ascii="Calibri" w:hAnsi="Calibri" w:cs="Calibri"/>
          <w:color w:val="000000"/>
          <w:sz w:val="20"/>
          <w:szCs w:val="20"/>
          <w:lang w:eastAsia="pl-PL"/>
        </w:rPr>
        <w:t>PN-E-06717 Maszyny elektryczne wirujące. Wytyczne stosowania silników indukcyjnych klatkowych zasilanych z przekształtników.</w:t>
      </w:r>
    </w:p>
    <w:p w:rsidR="00F316B2" w:rsidRPr="00E9443C" w:rsidRDefault="00BE54A8" w:rsidP="00F316B2">
      <w:pPr>
        <w:numPr>
          <w:ilvl w:val="1"/>
          <w:numId w:val="6"/>
        </w:numPr>
        <w:suppressAutoHyphens w:val="0"/>
        <w:spacing w:before="280" w:after="200" w:line="276" w:lineRule="auto"/>
        <w:ind w:hanging="578"/>
        <w:contextualSpacing/>
        <w:jc w:val="both"/>
        <w:textAlignment w:val="baseline"/>
        <w:rPr>
          <w:rFonts w:ascii="Calibri" w:hAnsi="Calibri" w:cs="Calibri"/>
          <w:color w:val="000000"/>
          <w:sz w:val="20"/>
          <w:szCs w:val="20"/>
          <w:lang w:eastAsia="pl-PL"/>
        </w:rPr>
      </w:pPr>
      <w:hyperlink r:id="rId10" w:history="1">
        <w:r w:rsidR="00F316B2" w:rsidRPr="00E9443C">
          <w:rPr>
            <w:rFonts w:ascii="Calibri" w:hAnsi="Calibri" w:cs="Calibri"/>
            <w:color w:val="000000"/>
            <w:sz w:val="20"/>
            <w:szCs w:val="20"/>
            <w:lang w:eastAsia="pl-PL"/>
          </w:rPr>
          <w:t>PN-EN 60349</w:t>
        </w:r>
      </w:hyperlink>
      <w:r w:rsidR="00F316B2" w:rsidRPr="00E9443C">
        <w:rPr>
          <w:rFonts w:ascii="Calibri" w:hAnsi="Calibri" w:cs="Calibri"/>
          <w:color w:val="000000"/>
          <w:sz w:val="20"/>
          <w:szCs w:val="20"/>
          <w:lang w:eastAsia="pl-PL"/>
        </w:rPr>
        <w:t xml:space="preserve">-2:2011 </w:t>
      </w:r>
      <w:hyperlink r:id="rId11" w:history="1">
        <w:r w:rsidR="00F316B2" w:rsidRPr="00E9443C">
          <w:rPr>
            <w:rFonts w:ascii="Calibri" w:hAnsi="Calibri" w:cs="Calibri"/>
            <w:color w:val="000000"/>
            <w:sz w:val="20"/>
            <w:szCs w:val="20"/>
            <w:lang w:eastAsia="pl-PL"/>
          </w:rPr>
          <w:t>Trakcja elektryczna - Elektryczne maszyny wirujące do pojazdów szynowych.</w:t>
        </w:r>
      </w:hyperlink>
      <w:r w:rsidR="00F316B2" w:rsidRPr="00E9443C">
        <w:rPr>
          <w:rFonts w:ascii="Calibri" w:hAnsi="Calibri" w:cs="Calibri"/>
          <w:color w:val="000000"/>
          <w:sz w:val="20"/>
          <w:szCs w:val="20"/>
          <w:lang w:eastAsia="pl-PL"/>
        </w:rPr>
        <w:t xml:space="preserve"> Maszyny zasilane z przekształtników elektronicznych.</w:t>
      </w:r>
    </w:p>
    <w:p w:rsidR="00F316B2" w:rsidRPr="00E9443C" w:rsidRDefault="00F316B2" w:rsidP="00F316B2">
      <w:pPr>
        <w:numPr>
          <w:ilvl w:val="1"/>
          <w:numId w:val="6"/>
        </w:numPr>
        <w:suppressAutoHyphens w:val="0"/>
        <w:spacing w:before="280" w:after="200" w:line="276" w:lineRule="auto"/>
        <w:ind w:hanging="578"/>
        <w:contextualSpacing/>
        <w:jc w:val="both"/>
        <w:textAlignment w:val="baseline"/>
        <w:rPr>
          <w:rFonts w:ascii="Calibri" w:hAnsi="Calibri" w:cs="Calibri"/>
          <w:color w:val="000000"/>
          <w:sz w:val="20"/>
          <w:szCs w:val="20"/>
          <w:lang w:eastAsia="pl-PL"/>
        </w:rPr>
      </w:pPr>
      <w:r w:rsidRPr="00E9443C">
        <w:rPr>
          <w:rFonts w:ascii="Calibri" w:hAnsi="Calibri" w:cs="Calibri"/>
          <w:color w:val="000000"/>
          <w:sz w:val="20"/>
          <w:szCs w:val="20"/>
          <w:lang w:eastAsia="pl-PL"/>
        </w:rPr>
        <w:t>PN-EN-IEC 60034-2-3:2020 Maszyny elektryczne wirujące. Metody badań do wyznaczania strat i sprawności silników prądu zmiennego zasilanych z przekształtnika.</w:t>
      </w:r>
    </w:p>
    <w:p w:rsidR="00F316B2" w:rsidRPr="00E9443C" w:rsidRDefault="00BE54A8" w:rsidP="00F316B2">
      <w:pPr>
        <w:numPr>
          <w:ilvl w:val="1"/>
          <w:numId w:val="6"/>
        </w:numPr>
        <w:suppressAutoHyphens w:val="0"/>
        <w:spacing w:before="280" w:after="200" w:line="276" w:lineRule="auto"/>
        <w:ind w:hanging="578"/>
        <w:contextualSpacing/>
        <w:jc w:val="both"/>
        <w:textAlignment w:val="baseline"/>
        <w:rPr>
          <w:rFonts w:ascii="Calibri" w:hAnsi="Calibri" w:cs="Calibri"/>
          <w:color w:val="000000"/>
          <w:sz w:val="20"/>
          <w:szCs w:val="20"/>
          <w:lang w:eastAsia="pl-PL"/>
        </w:rPr>
      </w:pPr>
      <w:hyperlink r:id="rId12" w:history="1">
        <w:r w:rsidR="00F316B2" w:rsidRPr="00E9443C">
          <w:rPr>
            <w:rFonts w:ascii="Calibri" w:hAnsi="Calibri" w:cs="Calibri"/>
            <w:color w:val="000000"/>
            <w:sz w:val="20"/>
            <w:szCs w:val="20"/>
            <w:lang w:eastAsia="pl-PL"/>
          </w:rPr>
          <w:t>PN-EN 60034-1:2011</w:t>
        </w:r>
      </w:hyperlink>
      <w:r w:rsidR="00F316B2" w:rsidRPr="00E9443C">
        <w:rPr>
          <w:rFonts w:ascii="Calibri" w:hAnsi="Calibri" w:cs="Calibri"/>
          <w:color w:val="000000"/>
          <w:sz w:val="20"/>
          <w:szCs w:val="20"/>
          <w:lang w:eastAsia="pl-PL"/>
        </w:rPr>
        <w:t xml:space="preserve"> </w:t>
      </w:r>
      <w:hyperlink r:id="rId13" w:history="1">
        <w:r w:rsidR="00F316B2" w:rsidRPr="00E9443C">
          <w:rPr>
            <w:rFonts w:ascii="Calibri" w:hAnsi="Calibri" w:cs="Calibri"/>
            <w:color w:val="000000"/>
            <w:sz w:val="20"/>
            <w:szCs w:val="20"/>
            <w:lang w:eastAsia="pl-PL"/>
          </w:rPr>
          <w:t xml:space="preserve">Maszyny elektryczne wirujące - Część 1: Dane znamionowe </w:t>
        </w:r>
        <w:r w:rsidR="00F316B2" w:rsidRPr="00E9443C">
          <w:rPr>
            <w:rFonts w:ascii="Calibri" w:hAnsi="Calibri" w:cs="Calibri"/>
            <w:color w:val="000000"/>
            <w:sz w:val="20"/>
            <w:szCs w:val="20"/>
            <w:lang w:eastAsia="pl-PL"/>
          </w:rPr>
          <w:br/>
          <w:t>i parametry</w:t>
        </w:r>
      </w:hyperlink>
      <w:r w:rsidR="00F316B2" w:rsidRPr="00E9443C">
        <w:rPr>
          <w:rFonts w:ascii="Calibri" w:hAnsi="Calibri" w:cs="Calibri"/>
          <w:color w:val="000000"/>
          <w:sz w:val="20"/>
          <w:szCs w:val="20"/>
          <w:lang w:eastAsia="pl-PL"/>
        </w:rPr>
        <w:t>.</w:t>
      </w:r>
    </w:p>
    <w:p w:rsidR="00F316B2" w:rsidRPr="00E9443C" w:rsidRDefault="00F316B2" w:rsidP="00F316B2">
      <w:pPr>
        <w:numPr>
          <w:ilvl w:val="1"/>
          <w:numId w:val="6"/>
        </w:numPr>
        <w:suppressAutoHyphens w:val="0"/>
        <w:spacing w:before="280" w:after="200" w:line="276" w:lineRule="auto"/>
        <w:ind w:hanging="578"/>
        <w:contextualSpacing/>
        <w:jc w:val="both"/>
        <w:textAlignment w:val="baseline"/>
        <w:rPr>
          <w:rFonts w:ascii="Calibri" w:hAnsi="Calibri" w:cs="Calibri"/>
          <w:color w:val="000000"/>
          <w:sz w:val="20"/>
          <w:szCs w:val="20"/>
          <w:lang w:eastAsia="pl-PL"/>
        </w:rPr>
      </w:pPr>
      <w:r w:rsidRPr="00E9443C">
        <w:rPr>
          <w:rFonts w:ascii="Calibri" w:hAnsi="Calibri" w:cs="Calibri"/>
          <w:color w:val="000000"/>
          <w:sz w:val="20"/>
          <w:szCs w:val="20"/>
          <w:lang w:eastAsia="pl-PL"/>
        </w:rPr>
        <w:t>PN-EN 60034-14  Maszyny elektryczne wirujące -Część 14: Drgania mechaniczne określonych maszyn o wzniosach osi wału 56 mm i większych - Pomiar, ocena i wartości graniczne intensywności drgań.</w:t>
      </w:r>
    </w:p>
    <w:p w:rsidR="00F316B2" w:rsidRPr="00E9443C" w:rsidRDefault="00F316B2" w:rsidP="00F316B2">
      <w:pPr>
        <w:numPr>
          <w:ilvl w:val="1"/>
          <w:numId w:val="6"/>
        </w:numPr>
        <w:suppressAutoHyphens w:val="0"/>
        <w:spacing w:before="280" w:after="200" w:line="276" w:lineRule="auto"/>
        <w:ind w:hanging="578"/>
        <w:contextualSpacing/>
        <w:jc w:val="both"/>
        <w:textAlignment w:val="baseline"/>
        <w:rPr>
          <w:rFonts w:ascii="Calibri" w:hAnsi="Calibri" w:cs="Calibri"/>
          <w:color w:val="000000"/>
          <w:sz w:val="20"/>
          <w:szCs w:val="20"/>
          <w:lang w:eastAsia="pl-PL"/>
        </w:rPr>
      </w:pPr>
      <w:r w:rsidRPr="00E9443C">
        <w:rPr>
          <w:rFonts w:ascii="Calibri" w:hAnsi="Calibri" w:cs="Calibri"/>
          <w:color w:val="000000"/>
          <w:sz w:val="20"/>
          <w:szCs w:val="20"/>
          <w:lang w:eastAsia="pl-PL"/>
        </w:rPr>
        <w:t>PN-EN 10204:2006 Wyroby metalowe. Rodzaje dokumentów kontroli.</w:t>
      </w:r>
    </w:p>
    <w:p w:rsidR="00F316B2" w:rsidRPr="00E9443C" w:rsidRDefault="00F316B2" w:rsidP="00F316B2">
      <w:pPr>
        <w:numPr>
          <w:ilvl w:val="1"/>
          <w:numId w:val="6"/>
        </w:numPr>
        <w:suppressAutoHyphens w:val="0"/>
        <w:spacing w:before="280" w:after="200" w:line="276" w:lineRule="auto"/>
        <w:ind w:hanging="578"/>
        <w:contextualSpacing/>
        <w:jc w:val="both"/>
        <w:textAlignment w:val="baseline"/>
        <w:rPr>
          <w:rFonts w:ascii="Calibri" w:hAnsi="Calibri" w:cs="Calibri"/>
          <w:color w:val="000000"/>
          <w:sz w:val="20"/>
          <w:szCs w:val="20"/>
          <w:lang w:eastAsia="pl-PL"/>
        </w:rPr>
      </w:pPr>
      <w:r w:rsidRPr="00E9443C">
        <w:rPr>
          <w:rFonts w:ascii="Calibri" w:hAnsi="Calibri" w:cs="Calibri"/>
          <w:color w:val="000000"/>
          <w:sz w:val="20"/>
          <w:szCs w:val="20"/>
          <w:lang w:eastAsia="pl-PL"/>
        </w:rPr>
        <w:t xml:space="preserve">PN-EN ISO 8501-1:2008 Przygotowanie podłoży stalowych przed nakładaniem farb </w:t>
      </w:r>
      <w:r w:rsidRPr="00E9443C">
        <w:rPr>
          <w:rFonts w:ascii="Calibri" w:hAnsi="Calibri" w:cs="Calibri"/>
          <w:color w:val="000000"/>
          <w:sz w:val="20"/>
          <w:szCs w:val="20"/>
          <w:lang w:eastAsia="pl-PL"/>
        </w:rPr>
        <w:br/>
        <w:t>i podobnych produktów. Wzrokowa ocena czystości powierzchni. Część 1: Stopnie skorodowania i stopnie przygotowania niepokrytych podłoży stalowych oraz podłoży stalowych po całkowitym usunięciu wcześniej nałożonych powłok.</w:t>
      </w:r>
    </w:p>
    <w:p w:rsidR="00F316B2" w:rsidRPr="00E9443C" w:rsidRDefault="00F316B2" w:rsidP="00F316B2">
      <w:pPr>
        <w:numPr>
          <w:ilvl w:val="1"/>
          <w:numId w:val="6"/>
        </w:numPr>
        <w:suppressAutoHyphens w:val="0"/>
        <w:spacing w:before="280" w:after="200" w:line="276" w:lineRule="auto"/>
        <w:ind w:hanging="578"/>
        <w:contextualSpacing/>
        <w:jc w:val="both"/>
        <w:textAlignment w:val="baseline"/>
        <w:rPr>
          <w:rFonts w:ascii="Calibri" w:hAnsi="Calibri" w:cs="Calibri"/>
          <w:color w:val="000000"/>
          <w:sz w:val="20"/>
          <w:szCs w:val="20"/>
          <w:lang w:eastAsia="pl-PL"/>
        </w:rPr>
      </w:pPr>
      <w:r w:rsidRPr="00E9443C">
        <w:rPr>
          <w:rFonts w:ascii="Calibri" w:hAnsi="Calibri" w:cs="Calibri"/>
          <w:color w:val="000000"/>
          <w:sz w:val="20"/>
          <w:szCs w:val="20"/>
          <w:lang w:eastAsia="pl-PL"/>
        </w:rPr>
        <w:t xml:space="preserve">PN-EN ISO 8501-2:2011 Przygotowanie podłoży stalowych przed nakładaniem farb </w:t>
      </w:r>
      <w:r w:rsidRPr="00E9443C">
        <w:rPr>
          <w:rFonts w:ascii="Calibri" w:hAnsi="Calibri" w:cs="Calibri"/>
          <w:color w:val="000000"/>
          <w:sz w:val="20"/>
          <w:szCs w:val="20"/>
          <w:lang w:eastAsia="pl-PL"/>
        </w:rPr>
        <w:br/>
        <w:t>i podobnych produktów. Wzrokowa ocena czystości powierzchni. Część 2: Stopnie przygotowania wcześniej pokrytych powłokami podłoży stalowych po miejscowym usunięciu tych powłok.</w:t>
      </w:r>
    </w:p>
    <w:p w:rsidR="00F316B2" w:rsidRPr="00E9443C" w:rsidRDefault="00F316B2" w:rsidP="00F316B2">
      <w:pPr>
        <w:numPr>
          <w:ilvl w:val="1"/>
          <w:numId w:val="6"/>
        </w:numPr>
        <w:suppressAutoHyphens w:val="0"/>
        <w:spacing w:before="280" w:after="200" w:line="276" w:lineRule="auto"/>
        <w:ind w:hanging="578"/>
        <w:contextualSpacing/>
        <w:jc w:val="both"/>
        <w:textAlignment w:val="baseline"/>
        <w:rPr>
          <w:rFonts w:ascii="Calibri" w:hAnsi="Calibri" w:cs="Calibri"/>
          <w:color w:val="000000"/>
          <w:sz w:val="20"/>
          <w:szCs w:val="20"/>
          <w:lang w:eastAsia="pl-PL"/>
        </w:rPr>
      </w:pPr>
      <w:r w:rsidRPr="00E9443C">
        <w:rPr>
          <w:rFonts w:ascii="Calibri" w:hAnsi="Calibri" w:cs="Calibri"/>
          <w:color w:val="000000"/>
          <w:sz w:val="20"/>
          <w:szCs w:val="20"/>
          <w:lang w:eastAsia="pl-PL"/>
        </w:rPr>
        <w:t xml:space="preserve">PN-EN ISO 8501-3:2008 Przygotowanie podłoży stalowych przed nakładaniem farb </w:t>
      </w:r>
      <w:r w:rsidRPr="00E9443C">
        <w:rPr>
          <w:rFonts w:ascii="Calibri" w:hAnsi="Calibri" w:cs="Calibri"/>
          <w:color w:val="000000"/>
          <w:sz w:val="20"/>
          <w:szCs w:val="20"/>
          <w:lang w:eastAsia="pl-PL"/>
        </w:rPr>
        <w:br/>
        <w:t>i podobnych produktów. Wzrokowa ocena czystości powierzchni. Część 3: Stopnie przygotowania spoin, krawędzi i innych obszarów z wadami powierzchni.</w:t>
      </w:r>
    </w:p>
    <w:p w:rsidR="00F316B2" w:rsidRPr="00E9443C" w:rsidRDefault="00F316B2" w:rsidP="00F316B2">
      <w:pPr>
        <w:numPr>
          <w:ilvl w:val="1"/>
          <w:numId w:val="6"/>
        </w:numPr>
        <w:suppressAutoHyphens w:val="0"/>
        <w:spacing w:before="280" w:after="200" w:line="276" w:lineRule="auto"/>
        <w:ind w:hanging="578"/>
        <w:contextualSpacing/>
        <w:jc w:val="both"/>
        <w:textAlignment w:val="baseline"/>
        <w:rPr>
          <w:rFonts w:ascii="Calibri" w:hAnsi="Calibri" w:cs="Calibri"/>
          <w:color w:val="000000"/>
          <w:sz w:val="20"/>
          <w:szCs w:val="20"/>
          <w:lang w:eastAsia="pl-PL"/>
        </w:rPr>
      </w:pPr>
      <w:r w:rsidRPr="00E9443C">
        <w:rPr>
          <w:rFonts w:ascii="Calibri" w:hAnsi="Calibri" w:cs="Calibri"/>
          <w:color w:val="000000"/>
          <w:sz w:val="20"/>
          <w:szCs w:val="20"/>
          <w:lang w:eastAsia="pl-PL"/>
        </w:rPr>
        <w:t xml:space="preserve">PN-EN ISO 8501-4:2021-04 Przygotowanie podłoży stalowych przed nakładaniem farb </w:t>
      </w:r>
      <w:r w:rsidRPr="00E9443C">
        <w:rPr>
          <w:rFonts w:ascii="Calibri" w:hAnsi="Calibri" w:cs="Calibri"/>
          <w:color w:val="000000"/>
          <w:sz w:val="20"/>
          <w:szCs w:val="20"/>
          <w:lang w:eastAsia="pl-PL"/>
        </w:rPr>
        <w:br/>
        <w:t>i podobnych produktów. Wzrokowa ocena czystości powierzchni. Część 4: Stany wyjściowe powierzchni, stopnie przygotowania i stopnie rdzy nalotowej związane z czyszczeniem strumieniem wody pod wysokim ciśnieniem.</w:t>
      </w:r>
    </w:p>
    <w:p w:rsidR="00F316B2" w:rsidRPr="00E9443C" w:rsidRDefault="00F316B2" w:rsidP="00F316B2">
      <w:pPr>
        <w:numPr>
          <w:ilvl w:val="1"/>
          <w:numId w:val="6"/>
        </w:numPr>
        <w:suppressAutoHyphens w:val="0"/>
        <w:spacing w:before="280" w:after="200" w:line="276" w:lineRule="auto"/>
        <w:ind w:hanging="578"/>
        <w:contextualSpacing/>
        <w:jc w:val="both"/>
        <w:textAlignment w:val="baseline"/>
        <w:rPr>
          <w:rFonts w:ascii="Calibri" w:hAnsi="Calibri" w:cs="Calibri"/>
          <w:color w:val="000000"/>
          <w:sz w:val="20"/>
          <w:szCs w:val="20"/>
          <w:lang w:eastAsia="pl-PL"/>
        </w:rPr>
      </w:pPr>
      <w:r w:rsidRPr="00E9443C">
        <w:rPr>
          <w:rFonts w:ascii="Calibri" w:hAnsi="Calibri" w:cs="Calibri"/>
          <w:color w:val="000000"/>
          <w:sz w:val="20"/>
          <w:szCs w:val="20"/>
          <w:lang w:eastAsia="pl-PL"/>
        </w:rPr>
        <w:t>PN-72E-04272 Maszyny elektryczne wirujące. Silniki indukcyjne trójfazowe. Metody badań.</w:t>
      </w:r>
    </w:p>
    <w:p w:rsidR="00F316B2" w:rsidRPr="00E9443C" w:rsidRDefault="00F316B2" w:rsidP="00F316B2">
      <w:pPr>
        <w:numPr>
          <w:ilvl w:val="1"/>
          <w:numId w:val="6"/>
        </w:numPr>
        <w:suppressAutoHyphens w:val="0"/>
        <w:spacing w:before="280" w:after="200" w:line="276" w:lineRule="auto"/>
        <w:ind w:hanging="578"/>
        <w:contextualSpacing/>
        <w:jc w:val="both"/>
        <w:textAlignment w:val="baseline"/>
        <w:rPr>
          <w:rFonts w:ascii="Calibri" w:hAnsi="Calibri" w:cs="Calibri"/>
          <w:color w:val="000000"/>
          <w:sz w:val="20"/>
          <w:szCs w:val="20"/>
          <w:lang w:eastAsia="pl-PL"/>
        </w:rPr>
      </w:pPr>
      <w:r w:rsidRPr="00E9443C">
        <w:rPr>
          <w:rFonts w:ascii="Calibri" w:hAnsi="Calibri" w:cs="Calibri"/>
          <w:color w:val="000000"/>
          <w:sz w:val="20"/>
          <w:szCs w:val="20"/>
          <w:lang w:eastAsia="pl-PL"/>
        </w:rPr>
        <w:t>PN-EN ISO 2409:2021-03 Farby i lakiery. Badanie metodą siatki nacięć..</w:t>
      </w:r>
    </w:p>
    <w:p w:rsidR="00F316B2" w:rsidRPr="005F7AB2" w:rsidRDefault="00F316B2" w:rsidP="00F316B2">
      <w:pPr>
        <w:numPr>
          <w:ilvl w:val="1"/>
          <w:numId w:val="6"/>
        </w:numPr>
        <w:suppressAutoHyphens w:val="0"/>
        <w:spacing w:before="280" w:after="200" w:line="276" w:lineRule="auto"/>
        <w:ind w:hanging="578"/>
        <w:contextualSpacing/>
        <w:jc w:val="both"/>
        <w:textAlignment w:val="baseline"/>
        <w:rPr>
          <w:rFonts w:ascii="Calibri" w:hAnsi="Calibri" w:cs="Calibri"/>
          <w:b/>
          <w:bCs/>
          <w:color w:val="000000"/>
          <w:sz w:val="20"/>
          <w:szCs w:val="20"/>
          <w:lang w:eastAsia="pl-PL"/>
        </w:rPr>
      </w:pPr>
      <w:r w:rsidRPr="00E9443C">
        <w:rPr>
          <w:rFonts w:ascii="Calibri" w:hAnsi="Calibri" w:cs="Calibri"/>
          <w:color w:val="000000"/>
          <w:sz w:val="20"/>
          <w:szCs w:val="20"/>
          <w:lang w:eastAsia="pl-PL"/>
        </w:rPr>
        <w:t>”Uchwała NR 441/2013 Zarządu ”Przewozy Regionalne” Sp. z o.o. z dnia 19 listopada 2013</w:t>
      </w:r>
    </w:p>
    <w:p w:rsidR="00F316B2" w:rsidRPr="00E9443C" w:rsidRDefault="00F316B2" w:rsidP="00F316B2">
      <w:pPr>
        <w:numPr>
          <w:ilvl w:val="1"/>
          <w:numId w:val="6"/>
        </w:numPr>
        <w:suppressAutoHyphens w:val="0"/>
        <w:spacing w:before="280" w:after="200" w:line="276" w:lineRule="auto"/>
        <w:ind w:hanging="578"/>
        <w:contextualSpacing/>
        <w:jc w:val="both"/>
        <w:textAlignment w:val="baseline"/>
        <w:rPr>
          <w:rFonts w:ascii="Calibri" w:hAnsi="Calibri" w:cs="Calibri"/>
          <w:b/>
          <w:bCs/>
          <w:color w:val="000000"/>
          <w:sz w:val="20"/>
          <w:szCs w:val="20"/>
          <w:lang w:eastAsia="pl-PL"/>
        </w:rPr>
      </w:pPr>
      <w:r w:rsidRPr="00E9443C">
        <w:rPr>
          <w:rFonts w:ascii="Calibri" w:hAnsi="Calibri" w:cs="Calibri"/>
          <w:color w:val="000000"/>
          <w:sz w:val="20"/>
          <w:szCs w:val="20"/>
          <w:lang w:eastAsia="pl-PL"/>
        </w:rPr>
        <w:t xml:space="preserve"> Instrukcja obsługi TMF 50-29-4 400 kW TSA.</w:t>
      </w:r>
    </w:p>
    <w:p w:rsidR="00F316B2" w:rsidRPr="00E9443C" w:rsidRDefault="00F316B2" w:rsidP="00F316B2">
      <w:pPr>
        <w:suppressAutoHyphens w:val="0"/>
        <w:rPr>
          <w:sz w:val="24"/>
          <w:szCs w:val="24"/>
          <w:lang w:eastAsia="pl-PL"/>
        </w:rPr>
      </w:pPr>
    </w:p>
    <w:p w:rsidR="00F316B2" w:rsidRPr="00E9443C" w:rsidRDefault="00F316B2" w:rsidP="00F316B2">
      <w:pPr>
        <w:numPr>
          <w:ilvl w:val="0"/>
          <w:numId w:val="12"/>
        </w:numPr>
        <w:suppressAutoHyphens w:val="0"/>
        <w:spacing w:after="200" w:line="276" w:lineRule="auto"/>
        <w:jc w:val="both"/>
        <w:textAlignment w:val="baseline"/>
        <w:rPr>
          <w:rFonts w:ascii="Calibri" w:hAnsi="Calibri" w:cs="Calibri"/>
          <w:b/>
          <w:bCs/>
          <w:color w:val="000000"/>
          <w:sz w:val="20"/>
          <w:szCs w:val="20"/>
          <w:lang w:eastAsia="pl-PL"/>
        </w:rPr>
      </w:pPr>
      <w:r w:rsidRPr="00E9443C">
        <w:rPr>
          <w:rFonts w:ascii="Calibri" w:hAnsi="Calibri" w:cs="Calibri"/>
          <w:b/>
          <w:bCs/>
          <w:color w:val="000000"/>
          <w:sz w:val="20"/>
          <w:szCs w:val="20"/>
          <w:lang w:eastAsia="pl-PL"/>
        </w:rPr>
        <w:t>Dokumenty dostarczone z przedmiotem zamówienia:</w:t>
      </w:r>
    </w:p>
    <w:p w:rsidR="00F316B2" w:rsidRPr="00E9443C" w:rsidRDefault="00F316B2" w:rsidP="00F316B2">
      <w:pPr>
        <w:numPr>
          <w:ilvl w:val="1"/>
          <w:numId w:val="7"/>
        </w:numPr>
        <w:suppressAutoHyphens w:val="0"/>
        <w:spacing w:after="200" w:line="276" w:lineRule="auto"/>
        <w:ind w:hanging="502"/>
        <w:contextualSpacing/>
        <w:jc w:val="both"/>
        <w:textAlignment w:val="baseline"/>
        <w:rPr>
          <w:rFonts w:ascii="Calibri" w:hAnsi="Calibri" w:cs="Calibri"/>
          <w:b/>
          <w:bCs/>
          <w:color w:val="000000"/>
          <w:sz w:val="20"/>
          <w:szCs w:val="20"/>
          <w:lang w:eastAsia="pl-PL"/>
        </w:rPr>
      </w:pPr>
      <w:r w:rsidRPr="00E9443C">
        <w:rPr>
          <w:rFonts w:ascii="Calibri" w:hAnsi="Calibri" w:cs="Calibri"/>
          <w:color w:val="000000"/>
          <w:sz w:val="20"/>
          <w:szCs w:val="20"/>
          <w:lang w:eastAsia="pl-PL"/>
        </w:rPr>
        <w:lastRenderedPageBreak/>
        <w:t xml:space="preserve">Protokoły: protokół z weryfikacji stanu technicznego silnika, protokół odbioru końcowego, zawierający wykaz wykonanych prac podczas naprawy oraz protokoły (raporty) </w:t>
      </w:r>
      <w:r w:rsidRPr="00E9443C">
        <w:rPr>
          <w:rFonts w:ascii="Calibri" w:hAnsi="Calibri" w:cs="Calibri"/>
          <w:color w:val="000000"/>
          <w:sz w:val="20"/>
          <w:szCs w:val="20"/>
          <w:lang w:eastAsia="pl-PL"/>
        </w:rPr>
        <w:br/>
        <w:t>z wykonanych badań, prób i testów na stanowisku testowym.</w:t>
      </w:r>
    </w:p>
    <w:p w:rsidR="00F316B2" w:rsidRPr="00E9443C" w:rsidRDefault="00F316B2" w:rsidP="00F316B2">
      <w:pPr>
        <w:numPr>
          <w:ilvl w:val="1"/>
          <w:numId w:val="7"/>
        </w:numPr>
        <w:suppressAutoHyphens w:val="0"/>
        <w:spacing w:after="200" w:line="276" w:lineRule="auto"/>
        <w:ind w:hanging="502"/>
        <w:contextualSpacing/>
        <w:jc w:val="both"/>
        <w:textAlignment w:val="baseline"/>
        <w:rPr>
          <w:rFonts w:ascii="Calibri" w:hAnsi="Calibri" w:cs="Calibri"/>
          <w:b/>
          <w:bCs/>
          <w:sz w:val="20"/>
          <w:szCs w:val="20"/>
          <w:lang w:eastAsia="pl-PL"/>
        </w:rPr>
      </w:pPr>
      <w:r w:rsidRPr="00E9443C">
        <w:rPr>
          <w:rFonts w:ascii="Calibri" w:eastAsia="Calibri" w:hAnsi="Calibri"/>
          <w:sz w:val="20"/>
          <w:lang w:eastAsia="en-US"/>
        </w:rPr>
        <w:t>Karta gwarancyjna - każdorazowo z każdą dostawą.</w:t>
      </w:r>
    </w:p>
    <w:p w:rsidR="00F316B2" w:rsidRPr="00E9443C" w:rsidRDefault="00F316B2" w:rsidP="00F316B2">
      <w:pPr>
        <w:numPr>
          <w:ilvl w:val="1"/>
          <w:numId w:val="7"/>
        </w:numPr>
        <w:suppressAutoHyphens w:val="0"/>
        <w:spacing w:before="240" w:after="200" w:line="276" w:lineRule="auto"/>
        <w:ind w:hanging="502"/>
        <w:contextualSpacing/>
        <w:jc w:val="both"/>
        <w:textAlignment w:val="baseline"/>
        <w:rPr>
          <w:rFonts w:ascii="Calibri" w:eastAsia="Calibri" w:hAnsi="Calibri" w:cs="Calibri"/>
          <w:sz w:val="20"/>
          <w:szCs w:val="20"/>
          <w:lang w:eastAsia="pl-PL"/>
        </w:rPr>
      </w:pPr>
      <w:r w:rsidRPr="00E9443C">
        <w:rPr>
          <w:rFonts w:ascii="Calibri" w:eastAsia="Calibri" w:hAnsi="Calibri" w:cs="Calibri"/>
          <w:sz w:val="20"/>
          <w:szCs w:val="20"/>
          <w:lang w:eastAsia="pl-PL"/>
        </w:rPr>
        <w:t xml:space="preserve">Karty charakterystyki na użyte materiały (dokument, w którym zostały określone właściwości fizyko-mechaniczne (gatunek materiału, wymiary, itd.): </w:t>
      </w:r>
    </w:p>
    <w:p w:rsidR="00F316B2" w:rsidRPr="00E9443C" w:rsidRDefault="00F316B2" w:rsidP="00F316B2">
      <w:pPr>
        <w:numPr>
          <w:ilvl w:val="0"/>
          <w:numId w:val="2"/>
        </w:numPr>
        <w:shd w:val="clear" w:color="auto" w:fill="FFFFFF"/>
        <w:suppressAutoHyphens w:val="0"/>
        <w:autoSpaceDE w:val="0"/>
        <w:autoSpaceDN w:val="0"/>
        <w:spacing w:before="120" w:after="200" w:line="276" w:lineRule="auto"/>
        <w:ind w:left="993" w:hanging="357"/>
        <w:contextualSpacing/>
        <w:jc w:val="both"/>
        <w:rPr>
          <w:rFonts w:ascii="Calibri" w:eastAsia="Calibri" w:hAnsi="Calibri" w:cs="Calibri"/>
          <w:sz w:val="20"/>
          <w:szCs w:val="20"/>
          <w:lang w:eastAsia="pl-PL"/>
        </w:rPr>
      </w:pPr>
      <w:r w:rsidRPr="00E9443C">
        <w:rPr>
          <w:rFonts w:ascii="Calibri" w:eastAsia="Calibri" w:hAnsi="Calibri" w:cs="Calibri"/>
          <w:sz w:val="20"/>
          <w:szCs w:val="20"/>
          <w:lang w:eastAsia="pl-PL"/>
        </w:rPr>
        <w:t>Profil nawojowy,</w:t>
      </w:r>
    </w:p>
    <w:p w:rsidR="00F316B2" w:rsidRPr="00E9443C" w:rsidRDefault="00F316B2" w:rsidP="00F316B2">
      <w:pPr>
        <w:numPr>
          <w:ilvl w:val="0"/>
          <w:numId w:val="2"/>
        </w:numPr>
        <w:shd w:val="clear" w:color="auto" w:fill="FFFFFF"/>
        <w:suppressAutoHyphens w:val="0"/>
        <w:autoSpaceDE w:val="0"/>
        <w:autoSpaceDN w:val="0"/>
        <w:spacing w:before="120" w:after="200" w:line="276" w:lineRule="auto"/>
        <w:ind w:left="993" w:hanging="357"/>
        <w:contextualSpacing/>
        <w:jc w:val="both"/>
        <w:rPr>
          <w:rFonts w:ascii="Calibri" w:eastAsia="Calibri" w:hAnsi="Calibri" w:cs="Calibri"/>
          <w:sz w:val="20"/>
          <w:szCs w:val="20"/>
          <w:lang w:eastAsia="pl-PL"/>
        </w:rPr>
      </w:pPr>
      <w:r w:rsidRPr="00E9443C">
        <w:rPr>
          <w:rFonts w:ascii="Calibri" w:eastAsia="Calibri" w:hAnsi="Calibri" w:cs="Calibri"/>
          <w:sz w:val="20"/>
          <w:szCs w:val="20"/>
          <w:lang w:eastAsia="pl-PL"/>
        </w:rPr>
        <w:t>Izolację: żłobkową, główną,</w:t>
      </w:r>
    </w:p>
    <w:p w:rsidR="00F316B2" w:rsidRPr="00E9443C" w:rsidRDefault="00F316B2" w:rsidP="00F316B2">
      <w:pPr>
        <w:numPr>
          <w:ilvl w:val="0"/>
          <w:numId w:val="2"/>
        </w:numPr>
        <w:shd w:val="clear" w:color="auto" w:fill="FFFFFF"/>
        <w:suppressAutoHyphens w:val="0"/>
        <w:autoSpaceDE w:val="0"/>
        <w:autoSpaceDN w:val="0"/>
        <w:spacing w:before="120" w:after="200" w:line="276" w:lineRule="auto"/>
        <w:ind w:left="993" w:hanging="357"/>
        <w:contextualSpacing/>
        <w:jc w:val="both"/>
        <w:rPr>
          <w:rFonts w:ascii="Calibri" w:eastAsia="Calibri" w:hAnsi="Calibri" w:cs="Calibri"/>
          <w:sz w:val="20"/>
          <w:szCs w:val="20"/>
          <w:lang w:eastAsia="pl-PL"/>
        </w:rPr>
      </w:pPr>
      <w:r w:rsidRPr="00E9443C">
        <w:rPr>
          <w:rFonts w:ascii="Calibri" w:eastAsia="Calibri" w:hAnsi="Calibri" w:cs="Calibri"/>
          <w:sz w:val="20"/>
          <w:szCs w:val="20"/>
          <w:lang w:eastAsia="pl-PL"/>
        </w:rPr>
        <w:t>Kliny izolacyjne,</w:t>
      </w:r>
    </w:p>
    <w:p w:rsidR="00F316B2" w:rsidRPr="00E9443C" w:rsidRDefault="00F316B2" w:rsidP="00F316B2">
      <w:pPr>
        <w:numPr>
          <w:ilvl w:val="0"/>
          <w:numId w:val="2"/>
        </w:numPr>
        <w:shd w:val="clear" w:color="auto" w:fill="FFFFFF"/>
        <w:suppressAutoHyphens w:val="0"/>
        <w:autoSpaceDE w:val="0"/>
        <w:autoSpaceDN w:val="0"/>
        <w:spacing w:before="120" w:after="200" w:line="276" w:lineRule="auto"/>
        <w:ind w:left="993" w:hanging="357"/>
        <w:contextualSpacing/>
        <w:jc w:val="both"/>
        <w:rPr>
          <w:rFonts w:ascii="Calibri" w:eastAsia="Calibri" w:hAnsi="Calibri" w:cs="Calibri"/>
          <w:sz w:val="20"/>
          <w:szCs w:val="20"/>
          <w:lang w:eastAsia="pl-PL"/>
        </w:rPr>
      </w:pPr>
      <w:r w:rsidRPr="00E9443C">
        <w:rPr>
          <w:rFonts w:ascii="Calibri" w:eastAsia="Calibri" w:hAnsi="Calibri" w:cs="Calibri"/>
          <w:sz w:val="20"/>
          <w:szCs w:val="20"/>
          <w:lang w:eastAsia="pl-PL"/>
        </w:rPr>
        <w:t>Żywicę (lakier) do impregnacji,</w:t>
      </w:r>
    </w:p>
    <w:p w:rsidR="00F316B2" w:rsidRPr="00E9443C" w:rsidRDefault="00F316B2" w:rsidP="00F316B2">
      <w:pPr>
        <w:numPr>
          <w:ilvl w:val="0"/>
          <w:numId w:val="2"/>
        </w:numPr>
        <w:shd w:val="clear" w:color="auto" w:fill="FFFFFF"/>
        <w:suppressAutoHyphens w:val="0"/>
        <w:autoSpaceDE w:val="0"/>
        <w:autoSpaceDN w:val="0"/>
        <w:spacing w:before="120" w:after="200" w:line="276" w:lineRule="auto"/>
        <w:ind w:left="993" w:hanging="357"/>
        <w:contextualSpacing/>
        <w:jc w:val="both"/>
        <w:rPr>
          <w:rFonts w:ascii="Calibri" w:eastAsia="Calibri" w:hAnsi="Calibri" w:cs="Calibri"/>
          <w:sz w:val="20"/>
          <w:szCs w:val="20"/>
          <w:lang w:eastAsia="pl-PL"/>
        </w:rPr>
      </w:pPr>
      <w:r w:rsidRPr="00E9443C">
        <w:rPr>
          <w:rFonts w:ascii="Calibri" w:eastAsia="Calibri" w:hAnsi="Calibri" w:cs="Calibri"/>
          <w:sz w:val="20"/>
          <w:szCs w:val="20"/>
          <w:lang w:eastAsia="pl-PL"/>
        </w:rPr>
        <w:t>Masy uszczelniające jeżeli były zastosowane,</w:t>
      </w:r>
    </w:p>
    <w:p w:rsidR="00F316B2" w:rsidRPr="00E9443C" w:rsidRDefault="00F316B2" w:rsidP="00F316B2">
      <w:pPr>
        <w:numPr>
          <w:ilvl w:val="0"/>
          <w:numId w:val="2"/>
        </w:numPr>
        <w:shd w:val="clear" w:color="auto" w:fill="FFFFFF"/>
        <w:suppressAutoHyphens w:val="0"/>
        <w:autoSpaceDE w:val="0"/>
        <w:autoSpaceDN w:val="0"/>
        <w:spacing w:before="120" w:after="200" w:line="276" w:lineRule="auto"/>
        <w:ind w:left="993" w:hanging="357"/>
        <w:contextualSpacing/>
        <w:jc w:val="both"/>
        <w:rPr>
          <w:rFonts w:ascii="Calibri" w:eastAsia="Calibri" w:hAnsi="Calibri" w:cs="Calibri"/>
          <w:sz w:val="20"/>
          <w:szCs w:val="20"/>
          <w:lang w:eastAsia="pl-PL"/>
        </w:rPr>
      </w:pPr>
      <w:r w:rsidRPr="00E9443C">
        <w:rPr>
          <w:rFonts w:ascii="Calibri" w:eastAsia="Calibri" w:hAnsi="Calibri" w:cs="Calibri"/>
          <w:sz w:val="20"/>
          <w:szCs w:val="20"/>
          <w:lang w:eastAsia="pl-PL"/>
        </w:rPr>
        <w:t xml:space="preserve">Smar do łożysk. </w:t>
      </w:r>
    </w:p>
    <w:p w:rsidR="00F316B2" w:rsidRPr="00E9443C" w:rsidRDefault="00F316B2" w:rsidP="00F316B2">
      <w:pPr>
        <w:suppressAutoHyphens w:val="0"/>
        <w:spacing w:before="120"/>
        <w:ind w:left="637"/>
        <w:contextualSpacing/>
        <w:jc w:val="both"/>
        <w:rPr>
          <w:rFonts w:ascii="Calibri" w:eastAsia="Calibri" w:hAnsi="Calibri"/>
          <w:sz w:val="20"/>
          <w:lang w:eastAsia="en-US"/>
        </w:rPr>
      </w:pPr>
    </w:p>
    <w:p w:rsidR="00F316B2" w:rsidRPr="00E9443C" w:rsidRDefault="00F316B2" w:rsidP="00F316B2">
      <w:pPr>
        <w:numPr>
          <w:ilvl w:val="1"/>
          <w:numId w:val="7"/>
        </w:numPr>
        <w:suppressAutoHyphens w:val="0"/>
        <w:spacing w:before="120" w:after="200" w:line="276" w:lineRule="auto"/>
        <w:ind w:hanging="502"/>
        <w:contextualSpacing/>
        <w:jc w:val="both"/>
        <w:rPr>
          <w:rFonts w:ascii="Calibri" w:eastAsia="Calibri" w:hAnsi="Calibri"/>
          <w:sz w:val="20"/>
          <w:lang w:eastAsia="en-US"/>
        </w:rPr>
      </w:pPr>
      <w:r w:rsidRPr="00E9443C">
        <w:rPr>
          <w:rFonts w:ascii="Calibri" w:eastAsia="Calibri" w:hAnsi="Calibri" w:cs="Calibri"/>
          <w:sz w:val="20"/>
          <w:szCs w:val="20"/>
          <w:lang w:eastAsia="en-US"/>
        </w:rPr>
        <w:t xml:space="preserve">Wypełniona Karta Podzespołu Pojazdu trakcyjnego (tzw. karta sztywna): krótki opis wykonanej naprawy lub zabiegów profilaktycznych; wykaz wymienionych części na nowe </w:t>
      </w:r>
      <w:r w:rsidRPr="00E9443C">
        <w:rPr>
          <w:rFonts w:ascii="Calibri" w:eastAsia="Calibri" w:hAnsi="Calibri"/>
          <w:sz w:val="20"/>
          <w:lang w:eastAsia="en-US"/>
        </w:rPr>
        <w:t>– każdorazowo z każdą dostawą</w:t>
      </w:r>
      <w:r w:rsidRPr="00E9443C">
        <w:rPr>
          <w:rFonts w:ascii="Calibri" w:eastAsia="Calibri" w:hAnsi="Calibri" w:cs="Calibri"/>
          <w:sz w:val="20"/>
          <w:szCs w:val="20"/>
          <w:lang w:eastAsia="en-US"/>
        </w:rPr>
        <w:t xml:space="preserve">.  </w:t>
      </w:r>
    </w:p>
    <w:p w:rsidR="00F316B2" w:rsidRPr="00E9443C" w:rsidRDefault="00F316B2" w:rsidP="00F316B2">
      <w:pPr>
        <w:numPr>
          <w:ilvl w:val="1"/>
          <w:numId w:val="7"/>
        </w:numPr>
        <w:suppressAutoHyphens w:val="0"/>
        <w:spacing w:before="120" w:after="200" w:line="276" w:lineRule="auto"/>
        <w:ind w:left="709" w:hanging="425"/>
        <w:contextualSpacing/>
        <w:jc w:val="both"/>
        <w:rPr>
          <w:rFonts w:ascii="Calibri" w:eastAsia="Calibri" w:hAnsi="Calibri"/>
          <w:sz w:val="20"/>
          <w:lang w:eastAsia="en-US"/>
        </w:rPr>
      </w:pPr>
      <w:r w:rsidRPr="00E9443C">
        <w:rPr>
          <w:rFonts w:ascii="Calibri" w:eastAsia="Calibri" w:hAnsi="Calibri" w:cs="Calibri"/>
          <w:sz w:val="20"/>
          <w:szCs w:val="20"/>
          <w:lang w:eastAsia="en-US"/>
        </w:rPr>
        <w:t xml:space="preserve">Dokumenty dotyczące zastosowanych łożysk </w:t>
      </w:r>
      <w:r w:rsidRPr="00E9443C">
        <w:rPr>
          <w:rFonts w:ascii="Calibri" w:eastAsia="Calibri" w:hAnsi="Calibri"/>
          <w:sz w:val="20"/>
          <w:lang w:eastAsia="en-US"/>
        </w:rPr>
        <w:t>– każdorazowo z każdą dostawą</w:t>
      </w:r>
      <w:r w:rsidRPr="00E9443C">
        <w:rPr>
          <w:rFonts w:ascii="Calibri" w:eastAsia="Calibri" w:hAnsi="Calibri" w:cs="Calibri"/>
          <w:sz w:val="20"/>
          <w:szCs w:val="20"/>
          <w:lang w:eastAsia="en-US"/>
        </w:rPr>
        <w:t xml:space="preserve"> silników po naprawie.</w:t>
      </w:r>
    </w:p>
    <w:p w:rsidR="00F316B2" w:rsidRDefault="00F316B2" w:rsidP="00F316B2">
      <w:pPr>
        <w:numPr>
          <w:ilvl w:val="1"/>
          <w:numId w:val="7"/>
        </w:numPr>
        <w:suppressAutoHyphens w:val="0"/>
        <w:spacing w:after="200" w:line="276" w:lineRule="auto"/>
        <w:ind w:hanging="502"/>
        <w:contextualSpacing/>
        <w:jc w:val="both"/>
        <w:textAlignment w:val="baseline"/>
        <w:rPr>
          <w:rFonts w:ascii="Calibri" w:hAnsi="Calibri" w:cs="Calibri"/>
          <w:color w:val="000000"/>
          <w:sz w:val="20"/>
          <w:szCs w:val="20"/>
          <w:lang w:eastAsia="pl-PL"/>
        </w:rPr>
      </w:pPr>
      <w:r w:rsidRPr="00E9443C">
        <w:rPr>
          <w:rFonts w:ascii="Calibri" w:hAnsi="Calibri" w:cs="Calibri"/>
          <w:sz w:val="20"/>
          <w:szCs w:val="20"/>
          <w:lang w:eastAsia="pl-PL"/>
        </w:rPr>
        <w:t>Świadectwo 3.2 wg dla silnika zespołu napędowego PN-EN 10204:2006, potwierdzone p</w:t>
      </w:r>
      <w:r w:rsidRPr="00E9443C">
        <w:rPr>
          <w:rFonts w:ascii="Calibri" w:hAnsi="Calibri" w:cs="Calibri"/>
          <w:color w:val="000000"/>
          <w:sz w:val="20"/>
          <w:szCs w:val="20"/>
          <w:lang w:eastAsia="pl-PL"/>
        </w:rPr>
        <w:t xml:space="preserve">rzez Komisarza Odbiorczego POLREGIO S.A. Świadectwa odbioru 3.2 z podpisem Komisarza Odbiorczego POLREGIO S.A. wraz  z </w:t>
      </w:r>
      <w:r>
        <w:rPr>
          <w:rFonts w:ascii="Calibri" w:hAnsi="Calibri" w:cs="Calibri"/>
          <w:color w:val="000000"/>
          <w:sz w:val="20"/>
          <w:szCs w:val="20"/>
          <w:lang w:eastAsia="pl-PL"/>
        </w:rPr>
        <w:t xml:space="preserve"> pełnym </w:t>
      </w:r>
      <w:r w:rsidRPr="00E9443C">
        <w:rPr>
          <w:rFonts w:ascii="Calibri" w:hAnsi="Calibri" w:cs="Calibri"/>
          <w:color w:val="000000"/>
          <w:sz w:val="20"/>
          <w:szCs w:val="20"/>
          <w:lang w:eastAsia="pl-PL"/>
        </w:rPr>
        <w:t>wykazem numerycznym zastosowanych w naprawie nowych łożysk tocznych. Atesty jakości, protokoły z badań, karty pomiarowe geometrii i wymiarów łożysk tocznych, protokoły badań nieniszczących łożysk zgodnie z PN-EN 12080:2017-10  – w przypadku gdy zostały zastosowane nowe łożyska toczne.</w:t>
      </w:r>
    </w:p>
    <w:p w:rsidR="00F316B2" w:rsidRPr="00E9443C" w:rsidRDefault="00F316B2" w:rsidP="00F316B2">
      <w:pPr>
        <w:suppressAutoHyphens w:val="0"/>
        <w:spacing w:after="200" w:line="276" w:lineRule="auto"/>
        <w:ind w:left="786"/>
        <w:contextualSpacing/>
        <w:jc w:val="both"/>
        <w:textAlignment w:val="baseline"/>
        <w:rPr>
          <w:rFonts w:ascii="Calibri" w:hAnsi="Calibri" w:cs="Calibri"/>
          <w:color w:val="000000"/>
          <w:sz w:val="20"/>
          <w:szCs w:val="20"/>
          <w:lang w:eastAsia="pl-PL"/>
        </w:rPr>
      </w:pPr>
    </w:p>
    <w:p w:rsidR="00F316B2" w:rsidRPr="00E9443C" w:rsidRDefault="00F316B2" w:rsidP="00F316B2">
      <w:pPr>
        <w:numPr>
          <w:ilvl w:val="0"/>
          <w:numId w:val="13"/>
        </w:numPr>
        <w:suppressAutoHyphens w:val="0"/>
        <w:spacing w:after="200" w:line="276" w:lineRule="auto"/>
        <w:jc w:val="both"/>
        <w:textAlignment w:val="baseline"/>
        <w:rPr>
          <w:rFonts w:ascii="Calibri" w:hAnsi="Calibri" w:cs="Calibri"/>
          <w:b/>
          <w:bCs/>
          <w:color w:val="000000"/>
          <w:sz w:val="20"/>
          <w:szCs w:val="20"/>
          <w:lang w:eastAsia="pl-PL"/>
        </w:rPr>
      </w:pPr>
      <w:r w:rsidRPr="00E9443C">
        <w:rPr>
          <w:rFonts w:ascii="Calibri" w:hAnsi="Calibri" w:cs="Calibri"/>
          <w:b/>
          <w:bCs/>
          <w:color w:val="000000"/>
          <w:sz w:val="20"/>
          <w:szCs w:val="20"/>
          <w:lang w:eastAsia="pl-PL"/>
        </w:rPr>
        <w:t>Zobowiązania wykonawcy:</w:t>
      </w:r>
    </w:p>
    <w:p w:rsidR="00F316B2" w:rsidRPr="00E9443C" w:rsidRDefault="00F316B2" w:rsidP="00F316B2">
      <w:pPr>
        <w:numPr>
          <w:ilvl w:val="1"/>
          <w:numId w:val="3"/>
        </w:numPr>
        <w:suppressAutoHyphens w:val="0"/>
        <w:spacing w:after="200" w:line="276" w:lineRule="auto"/>
        <w:ind w:hanging="578"/>
        <w:contextualSpacing/>
        <w:jc w:val="both"/>
        <w:textAlignment w:val="baseline"/>
        <w:rPr>
          <w:rFonts w:ascii="Calibri" w:hAnsi="Calibri" w:cs="Calibri"/>
          <w:b/>
          <w:bCs/>
          <w:color w:val="000000"/>
          <w:sz w:val="20"/>
          <w:szCs w:val="20"/>
          <w:lang w:eastAsia="pl-PL"/>
        </w:rPr>
      </w:pPr>
      <w:r w:rsidRPr="00E9443C">
        <w:rPr>
          <w:rFonts w:ascii="Calibri" w:hAnsi="Calibri" w:cs="Calibri"/>
          <w:color w:val="000000"/>
          <w:sz w:val="20"/>
          <w:szCs w:val="20"/>
          <w:lang w:eastAsia="pl-PL"/>
        </w:rPr>
        <w:t>Wykonawca gwarantuje wysoką jakość dostarczanego przedmiotu zamówienia zgodnie z odpowiednimi normami polskimi oraz obowiązującymi u Zamawiającego przepisami.</w:t>
      </w:r>
    </w:p>
    <w:p w:rsidR="00F316B2" w:rsidRPr="00E9443C" w:rsidRDefault="00F316B2" w:rsidP="00F316B2">
      <w:pPr>
        <w:numPr>
          <w:ilvl w:val="1"/>
          <w:numId w:val="3"/>
        </w:numPr>
        <w:suppressAutoHyphens w:val="0"/>
        <w:spacing w:after="200" w:line="276" w:lineRule="auto"/>
        <w:ind w:hanging="578"/>
        <w:contextualSpacing/>
        <w:jc w:val="both"/>
        <w:textAlignment w:val="baseline"/>
        <w:rPr>
          <w:rFonts w:ascii="Calibri" w:hAnsi="Calibri" w:cs="Calibri"/>
          <w:color w:val="000000"/>
          <w:sz w:val="20"/>
          <w:szCs w:val="20"/>
          <w:lang w:eastAsia="pl-PL"/>
        </w:rPr>
      </w:pPr>
      <w:r w:rsidRPr="00E9443C">
        <w:rPr>
          <w:rFonts w:ascii="Calibri" w:hAnsi="Calibri" w:cs="Calibri"/>
          <w:color w:val="000000"/>
          <w:sz w:val="20"/>
          <w:szCs w:val="20"/>
          <w:lang w:eastAsia="pl-PL"/>
        </w:rPr>
        <w:t>Wykonawca zobowiązany jest do wystawienia świadectwa odbioru 3.2 zgodnego z normą PN-EN 10204:2006 sporządzonego przez pracownika komórki kontroli jakości Wykonawcy, niezależnej od wydziału produkcyjnego. </w:t>
      </w:r>
    </w:p>
    <w:p w:rsidR="00F316B2" w:rsidRPr="00E9443C" w:rsidRDefault="00F316B2" w:rsidP="00F316B2">
      <w:pPr>
        <w:numPr>
          <w:ilvl w:val="1"/>
          <w:numId w:val="3"/>
        </w:numPr>
        <w:suppressAutoHyphens w:val="0"/>
        <w:spacing w:after="200" w:line="276" w:lineRule="auto"/>
        <w:ind w:hanging="578"/>
        <w:contextualSpacing/>
        <w:jc w:val="both"/>
        <w:textAlignment w:val="baseline"/>
        <w:rPr>
          <w:rFonts w:ascii="Calibri" w:hAnsi="Calibri" w:cs="Calibri"/>
          <w:color w:val="000000"/>
          <w:sz w:val="20"/>
          <w:szCs w:val="20"/>
          <w:lang w:eastAsia="pl-PL"/>
        </w:rPr>
      </w:pPr>
      <w:r w:rsidRPr="00E9443C">
        <w:rPr>
          <w:rFonts w:ascii="Calibri" w:hAnsi="Calibri" w:cs="Calibri"/>
          <w:color w:val="000000"/>
          <w:sz w:val="20"/>
          <w:szCs w:val="20"/>
          <w:lang w:eastAsia="pl-PL"/>
        </w:rPr>
        <w:t>Wykonawca zobowiązany jest do przedstawienia Zamawiającemu aktualnych i zatwierdzonych do stosowania w POLREGIO S.A. warunków technicznych wykonania i odbioru (</w:t>
      </w:r>
      <w:proofErr w:type="spellStart"/>
      <w:r w:rsidRPr="00E9443C">
        <w:rPr>
          <w:rFonts w:ascii="Calibri" w:hAnsi="Calibri" w:cs="Calibri"/>
          <w:color w:val="000000"/>
          <w:sz w:val="20"/>
          <w:szCs w:val="20"/>
          <w:lang w:eastAsia="pl-PL"/>
        </w:rPr>
        <w:t>WTWiO</w:t>
      </w:r>
      <w:proofErr w:type="spellEnd"/>
      <w:r w:rsidRPr="00E9443C">
        <w:rPr>
          <w:rFonts w:ascii="Calibri" w:hAnsi="Calibri" w:cs="Calibri"/>
          <w:color w:val="000000"/>
          <w:sz w:val="20"/>
          <w:szCs w:val="20"/>
          <w:lang w:eastAsia="pl-PL"/>
        </w:rPr>
        <w:t>) dla przedmiotu umowy. Uzgodnień i zatwierdzeń dokonuje Biuro Taboru, Wydział Technologii i Dokumentacji Taboru POLREGIO S.A., Ul. Kolejowa 1, Warszawa. Jeżeli przedstawione przez Wykonawcę warunki techniczne wykonania i odbioru (</w:t>
      </w:r>
      <w:proofErr w:type="spellStart"/>
      <w:r w:rsidRPr="00E9443C">
        <w:rPr>
          <w:rFonts w:ascii="Calibri" w:hAnsi="Calibri" w:cs="Calibri"/>
          <w:color w:val="000000"/>
          <w:sz w:val="20"/>
          <w:szCs w:val="20"/>
          <w:lang w:eastAsia="pl-PL"/>
        </w:rPr>
        <w:t>WTWiO</w:t>
      </w:r>
      <w:proofErr w:type="spellEnd"/>
      <w:r w:rsidRPr="00E9443C">
        <w:rPr>
          <w:rFonts w:ascii="Calibri" w:hAnsi="Calibri" w:cs="Calibri"/>
          <w:color w:val="000000"/>
          <w:sz w:val="20"/>
          <w:szCs w:val="20"/>
          <w:lang w:eastAsia="pl-PL"/>
        </w:rPr>
        <w:t>) nie będą wymagały poprawek, Biuro Taboru zobowiązane jest zwrócić uzgodnioną dokumentację w ciągu dwóch tygodni od dnia jej dostarczenia przez Wykonawcę.</w:t>
      </w:r>
    </w:p>
    <w:p w:rsidR="00F316B2" w:rsidRPr="00E9443C" w:rsidRDefault="00F316B2" w:rsidP="00F316B2">
      <w:pPr>
        <w:numPr>
          <w:ilvl w:val="1"/>
          <w:numId w:val="3"/>
        </w:numPr>
        <w:suppressAutoHyphens w:val="0"/>
        <w:spacing w:after="200" w:line="276" w:lineRule="auto"/>
        <w:ind w:hanging="578"/>
        <w:contextualSpacing/>
        <w:jc w:val="both"/>
        <w:textAlignment w:val="baseline"/>
        <w:rPr>
          <w:rFonts w:ascii="Calibri" w:hAnsi="Calibri" w:cs="Calibri"/>
          <w:color w:val="000000"/>
          <w:sz w:val="20"/>
          <w:szCs w:val="20"/>
          <w:lang w:eastAsia="pl-PL"/>
        </w:rPr>
      </w:pPr>
      <w:r w:rsidRPr="00E9443C">
        <w:rPr>
          <w:rFonts w:ascii="Calibri" w:hAnsi="Calibri" w:cs="Calibri"/>
          <w:color w:val="000000"/>
          <w:sz w:val="20"/>
          <w:szCs w:val="20"/>
          <w:lang w:eastAsia="pl-PL"/>
        </w:rPr>
        <w:t>Wykonawca przed podpisaniem Umowy zobowiązany jest wykazać dowodnie, że wykona naprawę silnika w klasie izolacji nie niższej niż 220.</w:t>
      </w:r>
    </w:p>
    <w:p w:rsidR="00F316B2" w:rsidRPr="00E9443C" w:rsidRDefault="00F316B2" w:rsidP="00F316B2">
      <w:pPr>
        <w:suppressAutoHyphens w:val="0"/>
        <w:rPr>
          <w:sz w:val="24"/>
          <w:szCs w:val="24"/>
          <w:lang w:eastAsia="pl-PL"/>
        </w:rPr>
      </w:pPr>
    </w:p>
    <w:p w:rsidR="00F316B2" w:rsidRPr="00E9443C" w:rsidRDefault="00F316B2" w:rsidP="00F316B2">
      <w:pPr>
        <w:numPr>
          <w:ilvl w:val="0"/>
          <w:numId w:val="14"/>
        </w:numPr>
        <w:suppressAutoHyphens w:val="0"/>
        <w:spacing w:after="200" w:line="276" w:lineRule="auto"/>
        <w:jc w:val="both"/>
        <w:textAlignment w:val="baseline"/>
        <w:rPr>
          <w:rFonts w:ascii="Calibri" w:hAnsi="Calibri" w:cs="Calibri"/>
          <w:b/>
          <w:bCs/>
          <w:color w:val="000000"/>
          <w:sz w:val="20"/>
          <w:szCs w:val="20"/>
          <w:lang w:eastAsia="pl-PL"/>
        </w:rPr>
      </w:pPr>
      <w:r w:rsidRPr="00E9443C">
        <w:rPr>
          <w:rFonts w:ascii="Calibri" w:hAnsi="Calibri" w:cs="Calibri"/>
          <w:b/>
          <w:bCs/>
          <w:color w:val="000000"/>
          <w:sz w:val="20"/>
          <w:szCs w:val="20"/>
          <w:lang w:eastAsia="pl-PL"/>
        </w:rPr>
        <w:t>Warunki dostawy:</w:t>
      </w:r>
    </w:p>
    <w:p w:rsidR="00F316B2" w:rsidRPr="00E9443C" w:rsidRDefault="00F316B2" w:rsidP="00F316B2">
      <w:pPr>
        <w:numPr>
          <w:ilvl w:val="1"/>
          <w:numId w:val="4"/>
        </w:numPr>
        <w:suppressAutoHyphens w:val="0"/>
        <w:spacing w:after="200" w:line="276" w:lineRule="auto"/>
        <w:ind w:hanging="578"/>
        <w:contextualSpacing/>
        <w:jc w:val="both"/>
        <w:textAlignment w:val="baseline"/>
        <w:rPr>
          <w:rFonts w:ascii="Calibri" w:hAnsi="Calibri" w:cs="Calibri"/>
          <w:b/>
          <w:bCs/>
          <w:color w:val="000000"/>
          <w:sz w:val="20"/>
          <w:szCs w:val="20"/>
          <w:lang w:eastAsia="pl-PL"/>
        </w:rPr>
      </w:pPr>
      <w:r w:rsidRPr="00E9443C">
        <w:rPr>
          <w:rFonts w:ascii="Calibri" w:hAnsi="Calibri" w:cs="Calibri"/>
          <w:color w:val="000000"/>
          <w:sz w:val="20"/>
          <w:szCs w:val="20"/>
          <w:lang w:eastAsia="pl-PL"/>
        </w:rPr>
        <w:t xml:space="preserve">Przedmiot zamówienia winien być dostarczony krytymi środkami lokomocji </w:t>
      </w:r>
      <w:r w:rsidRPr="00E9443C">
        <w:rPr>
          <w:rFonts w:ascii="Calibri" w:hAnsi="Calibri" w:cs="Calibri"/>
          <w:color w:val="000000"/>
          <w:sz w:val="20"/>
          <w:szCs w:val="20"/>
          <w:lang w:eastAsia="pl-PL"/>
        </w:rPr>
        <w:br/>
        <w:t>z zabezpieczeniem przed przemieszczeniem ładunku oraz przed uszkodzeniem. Przy transporcie otwór wlotu powietrza należy zakryć wiekiem transportowym. Należy chronić przed uszkodzeniem szczególnie kable wejściowe, czujnik obrotów i jego wyjście, stożkowy koniec wału. Koszt transportu, opakowania (zabezpieczenia) oraz ubezpieczenia przedmiotu dostawy, aż do miejsca dostawy, ponosi Wykonawca wg zapisów Umowy.</w:t>
      </w:r>
    </w:p>
    <w:p w:rsidR="00F316B2" w:rsidRPr="00E9443C" w:rsidRDefault="00F316B2" w:rsidP="00F316B2">
      <w:pPr>
        <w:numPr>
          <w:ilvl w:val="1"/>
          <w:numId w:val="4"/>
        </w:numPr>
        <w:suppressAutoHyphens w:val="0"/>
        <w:spacing w:after="200" w:line="276" w:lineRule="auto"/>
        <w:ind w:hanging="578"/>
        <w:contextualSpacing/>
        <w:jc w:val="both"/>
        <w:textAlignment w:val="baseline"/>
        <w:rPr>
          <w:rFonts w:ascii="Calibri" w:hAnsi="Calibri" w:cs="Calibri"/>
          <w:color w:val="000000"/>
          <w:sz w:val="20"/>
          <w:szCs w:val="20"/>
          <w:lang w:eastAsia="pl-PL"/>
        </w:rPr>
      </w:pPr>
      <w:r w:rsidRPr="00E9443C">
        <w:rPr>
          <w:rFonts w:ascii="Calibri" w:hAnsi="Calibri" w:cs="Calibri"/>
          <w:color w:val="000000"/>
          <w:sz w:val="20"/>
          <w:szCs w:val="20"/>
          <w:lang w:eastAsia="pl-PL"/>
        </w:rPr>
        <w:lastRenderedPageBreak/>
        <w:t>Do podnoszenia i transportowania zespołów napędowych na bliskie odległości używać urządzenia dźwigowego zgodnego z przepisami BHP i UDT. Podnoszenie i transportowanie na bliskie odległości, dozwolone jest za pośrednictwem zawiesi zamocowanych do pierścieni ładunkowych lub śrub oczkowych wkręcanych w otwory gwintowane  w korpusie. </w:t>
      </w:r>
    </w:p>
    <w:p w:rsidR="00F316B2" w:rsidRPr="00E9443C" w:rsidRDefault="00F316B2" w:rsidP="00F316B2">
      <w:pPr>
        <w:numPr>
          <w:ilvl w:val="1"/>
          <w:numId w:val="4"/>
        </w:numPr>
        <w:suppressAutoHyphens w:val="0"/>
        <w:spacing w:after="200" w:line="276" w:lineRule="auto"/>
        <w:ind w:hanging="578"/>
        <w:contextualSpacing/>
        <w:jc w:val="both"/>
        <w:textAlignment w:val="baseline"/>
        <w:rPr>
          <w:rFonts w:ascii="Calibri" w:hAnsi="Calibri" w:cs="Calibri"/>
          <w:color w:val="000000"/>
          <w:sz w:val="20"/>
          <w:szCs w:val="20"/>
          <w:lang w:eastAsia="pl-PL"/>
        </w:rPr>
      </w:pPr>
      <w:r w:rsidRPr="00E9443C">
        <w:rPr>
          <w:rFonts w:ascii="Calibri" w:hAnsi="Calibri" w:cs="Calibri"/>
          <w:color w:val="000000"/>
          <w:sz w:val="20"/>
          <w:szCs w:val="20"/>
          <w:lang w:eastAsia="pl-PL"/>
        </w:rPr>
        <w:t xml:space="preserve">Przy transportowaniu silnika zespołów napędowych należy bezwzględnie unikać silnych wstrząsów </w:t>
      </w:r>
      <w:r w:rsidRPr="00E9443C">
        <w:rPr>
          <w:rFonts w:ascii="Calibri" w:hAnsi="Calibri" w:cs="Calibri"/>
          <w:color w:val="000000"/>
          <w:sz w:val="20"/>
          <w:szCs w:val="20"/>
          <w:lang w:eastAsia="pl-PL"/>
        </w:rPr>
        <w:br/>
        <w:t>i uderzeń. </w:t>
      </w:r>
    </w:p>
    <w:p w:rsidR="00F316B2" w:rsidRPr="00E9443C" w:rsidRDefault="00F316B2" w:rsidP="00F316B2">
      <w:pPr>
        <w:numPr>
          <w:ilvl w:val="1"/>
          <w:numId w:val="4"/>
        </w:numPr>
        <w:suppressAutoHyphens w:val="0"/>
        <w:spacing w:after="200" w:line="276" w:lineRule="auto"/>
        <w:ind w:hanging="578"/>
        <w:contextualSpacing/>
        <w:jc w:val="both"/>
        <w:textAlignment w:val="baseline"/>
        <w:rPr>
          <w:rFonts w:ascii="Calibri" w:hAnsi="Calibri" w:cs="Calibri"/>
          <w:color w:val="000000"/>
          <w:sz w:val="20"/>
          <w:szCs w:val="20"/>
          <w:lang w:eastAsia="pl-PL"/>
        </w:rPr>
      </w:pPr>
      <w:r w:rsidRPr="00E9443C">
        <w:rPr>
          <w:rFonts w:ascii="Calibri" w:hAnsi="Calibri" w:cs="Calibri"/>
          <w:color w:val="000000"/>
          <w:sz w:val="20"/>
          <w:szCs w:val="20"/>
          <w:lang w:eastAsia="pl-PL"/>
        </w:rPr>
        <w:t xml:space="preserve">Silniki elektryczne z jednym łożyskiem, nie zmontowane z przekładnią, muszą być transportowane </w:t>
      </w:r>
      <w:r w:rsidRPr="00E9443C">
        <w:rPr>
          <w:rFonts w:ascii="Calibri" w:hAnsi="Calibri" w:cs="Calibri"/>
          <w:color w:val="000000"/>
          <w:sz w:val="20"/>
          <w:szCs w:val="20"/>
          <w:lang w:eastAsia="pl-PL"/>
        </w:rPr>
        <w:br/>
        <w:t>w poziomie z zastosowaniem blokady (usztywnienia) osiowej i promieniowej. </w:t>
      </w:r>
    </w:p>
    <w:p w:rsidR="00F316B2" w:rsidRPr="00E9443C" w:rsidRDefault="00F316B2" w:rsidP="00F316B2">
      <w:pPr>
        <w:numPr>
          <w:ilvl w:val="1"/>
          <w:numId w:val="4"/>
        </w:numPr>
        <w:suppressAutoHyphens w:val="0"/>
        <w:spacing w:after="200" w:line="276" w:lineRule="auto"/>
        <w:ind w:hanging="578"/>
        <w:contextualSpacing/>
        <w:jc w:val="both"/>
        <w:textAlignment w:val="baseline"/>
        <w:rPr>
          <w:rFonts w:ascii="Calibri" w:hAnsi="Calibri" w:cs="Calibri"/>
          <w:b/>
          <w:bCs/>
          <w:color w:val="000000"/>
          <w:sz w:val="20"/>
          <w:szCs w:val="20"/>
          <w:lang w:eastAsia="pl-PL"/>
        </w:rPr>
      </w:pPr>
      <w:r w:rsidRPr="00E9443C">
        <w:rPr>
          <w:rFonts w:ascii="Calibri" w:hAnsi="Calibri" w:cs="Calibri"/>
          <w:color w:val="000000"/>
          <w:sz w:val="20"/>
          <w:szCs w:val="20"/>
          <w:lang w:eastAsia="pl-PL"/>
        </w:rPr>
        <w:t>Przedmiot zamówienia powinien być przechowywany w pomieszczeniach, w których maksymalna wilgotność względna nie przekracza 80% przy temperaturze 20°C, temperatura nie spada poniżej + 5°C, wolnych od pyłów, gazów, pary żrącej, oraz innych agresywnych wyziewów chemicznych działających niszcząco na izolację i obudowę.</w:t>
      </w:r>
    </w:p>
    <w:p w:rsidR="00F316B2" w:rsidRPr="00E9443C" w:rsidRDefault="00F316B2" w:rsidP="00F316B2">
      <w:pPr>
        <w:suppressAutoHyphens w:val="0"/>
        <w:rPr>
          <w:sz w:val="24"/>
          <w:szCs w:val="24"/>
          <w:lang w:eastAsia="pl-PL"/>
        </w:rPr>
      </w:pPr>
    </w:p>
    <w:p w:rsidR="00F316B2" w:rsidRPr="00E9443C" w:rsidRDefault="00F316B2" w:rsidP="00F316B2">
      <w:pPr>
        <w:numPr>
          <w:ilvl w:val="0"/>
          <w:numId w:val="15"/>
        </w:numPr>
        <w:suppressAutoHyphens w:val="0"/>
        <w:spacing w:after="200" w:line="276" w:lineRule="auto"/>
        <w:jc w:val="both"/>
        <w:textAlignment w:val="baseline"/>
        <w:rPr>
          <w:rFonts w:ascii="Calibri" w:hAnsi="Calibri" w:cs="Calibri"/>
          <w:b/>
          <w:bCs/>
          <w:color w:val="000000"/>
          <w:sz w:val="20"/>
          <w:szCs w:val="20"/>
          <w:lang w:eastAsia="pl-PL"/>
        </w:rPr>
      </w:pPr>
      <w:r w:rsidRPr="00E9443C">
        <w:rPr>
          <w:rFonts w:ascii="Calibri" w:hAnsi="Calibri" w:cs="Calibri"/>
          <w:b/>
          <w:bCs/>
          <w:color w:val="000000"/>
          <w:sz w:val="20"/>
          <w:szCs w:val="20"/>
          <w:lang w:eastAsia="pl-PL"/>
        </w:rPr>
        <w:t>Gwarancja:</w:t>
      </w:r>
      <w:r w:rsidRPr="00E9443C">
        <w:rPr>
          <w:rFonts w:ascii="Calibri" w:hAnsi="Calibri" w:cs="Calibri"/>
          <w:color w:val="000000"/>
          <w:sz w:val="20"/>
          <w:szCs w:val="20"/>
          <w:lang w:eastAsia="pl-PL"/>
        </w:rPr>
        <w:t> </w:t>
      </w:r>
    </w:p>
    <w:p w:rsidR="00F316B2" w:rsidRPr="00E9443C" w:rsidRDefault="00F316B2" w:rsidP="00F316B2">
      <w:pPr>
        <w:numPr>
          <w:ilvl w:val="1"/>
          <w:numId w:val="5"/>
        </w:numPr>
        <w:suppressAutoHyphens w:val="0"/>
        <w:spacing w:after="200" w:line="276" w:lineRule="auto"/>
        <w:ind w:hanging="571"/>
        <w:contextualSpacing/>
        <w:jc w:val="both"/>
        <w:textAlignment w:val="baseline"/>
        <w:rPr>
          <w:rFonts w:ascii="Calibri" w:hAnsi="Calibri" w:cs="Calibri"/>
          <w:b/>
          <w:bCs/>
          <w:color w:val="000000"/>
          <w:sz w:val="20"/>
          <w:szCs w:val="20"/>
          <w:lang w:eastAsia="pl-PL"/>
        </w:rPr>
      </w:pPr>
      <w:r w:rsidRPr="00E9443C">
        <w:rPr>
          <w:rFonts w:ascii="Calibri" w:eastAsia="Calibri" w:hAnsi="Calibri"/>
          <w:sz w:val="20"/>
          <w:szCs w:val="20"/>
          <w:lang w:eastAsia="en-US"/>
        </w:rPr>
        <w:t xml:space="preserve">Okres gwarancji: Wykonawca udziela gwarancji na wykonane prace i zastosowane części na okres 12 miesięcy od daty uzyskania świadectwa sprawności technicznej pojazdu, lecz nie dłużej niż 14 miesięcy od odbioru silnika zespołu napędowego po przeglądzie przez Zamawiającego, a na podzespoły przezwojone oraz nowe wirniki </w:t>
      </w:r>
      <w:r>
        <w:rPr>
          <w:rFonts w:ascii="Calibri" w:eastAsia="Calibri" w:hAnsi="Calibri"/>
          <w:sz w:val="20"/>
          <w:szCs w:val="20"/>
          <w:lang w:eastAsia="en-US"/>
        </w:rPr>
        <w:t xml:space="preserve"> i nowe uzwojone stojany </w:t>
      </w:r>
      <w:r w:rsidRPr="00E9443C">
        <w:rPr>
          <w:rFonts w:ascii="Calibri" w:eastAsia="Calibri" w:hAnsi="Calibri"/>
          <w:sz w:val="20"/>
          <w:szCs w:val="20"/>
          <w:lang w:eastAsia="en-US"/>
        </w:rPr>
        <w:t>– 24 miesięcy od daty dostawy</w:t>
      </w:r>
      <w:r w:rsidRPr="00E9443C">
        <w:rPr>
          <w:rFonts w:ascii="Calibri" w:hAnsi="Calibri" w:cs="Calibri"/>
          <w:b/>
          <w:bCs/>
          <w:color w:val="000000"/>
          <w:sz w:val="20"/>
          <w:szCs w:val="20"/>
          <w:lang w:eastAsia="pl-PL"/>
        </w:rPr>
        <w:t>.</w:t>
      </w:r>
      <w:r w:rsidRPr="00E9443C">
        <w:rPr>
          <w:rFonts w:ascii="Calibri" w:eastAsia="Calibri" w:hAnsi="Calibri"/>
          <w:b/>
          <w:sz w:val="20"/>
          <w:szCs w:val="20"/>
          <w:lang w:eastAsia="en-US"/>
        </w:rPr>
        <w:t xml:space="preserve">                                  </w:t>
      </w:r>
    </w:p>
    <w:p w:rsidR="00444BCC" w:rsidRDefault="00444BCC"/>
    <w:sectPr w:rsidR="00444B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E5DDD"/>
    <w:multiLevelType w:val="multilevel"/>
    <w:tmpl w:val="3D0ED61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294C3C"/>
    <w:multiLevelType w:val="multilevel"/>
    <w:tmpl w:val="F4E21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4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932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57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86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144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3788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4072" w:hanging="1440"/>
      </w:pPr>
      <w:rPr>
        <w:rFonts w:hint="default"/>
        <w:b w:val="0"/>
      </w:rPr>
    </w:lvl>
  </w:abstractNum>
  <w:abstractNum w:abstractNumId="2">
    <w:nsid w:val="278F485A"/>
    <w:multiLevelType w:val="hybridMultilevel"/>
    <w:tmpl w:val="8FD6A49C"/>
    <w:lvl w:ilvl="0" w:tplc="205E16F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BAD1971"/>
    <w:multiLevelType w:val="multilevel"/>
    <w:tmpl w:val="1FFEDC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97" w:hanging="360"/>
      </w:pPr>
      <w:rPr>
        <w:rFonts w:eastAsia="Calibri" w:cs="Times New Roman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634" w:hanging="720"/>
      </w:pPr>
      <w:rPr>
        <w:rFonts w:eastAsia="Calibri" w:cs="Times New Roman"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911" w:hanging="720"/>
      </w:pPr>
      <w:rPr>
        <w:rFonts w:eastAsia="Calibri" w:cs="Times New Roman" w:hint="default"/>
        <w:b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2548" w:hanging="1080"/>
      </w:pPr>
      <w:rPr>
        <w:rFonts w:eastAsia="Calibri" w:cs="Times New Roman" w:hint="default"/>
        <w:b w:val="0"/>
        <w:color w:val="auto"/>
      </w:rPr>
    </w:lvl>
    <w:lvl w:ilvl="5">
      <w:start w:val="1"/>
      <w:numFmt w:val="decimal"/>
      <w:isLgl/>
      <w:lvlText w:val="%1.%2.%3.%4.%5.%6."/>
      <w:lvlJc w:val="left"/>
      <w:pPr>
        <w:ind w:left="2825" w:hanging="1080"/>
      </w:pPr>
      <w:rPr>
        <w:rFonts w:eastAsia="Calibri" w:cs="Times New Roman" w:hint="default"/>
        <w:b w:val="0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3102" w:hanging="1080"/>
      </w:pPr>
      <w:rPr>
        <w:rFonts w:eastAsia="Calibri" w:cs="Times New Roman" w:hint="default"/>
        <w:b w:val="0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3739" w:hanging="1440"/>
      </w:pPr>
      <w:rPr>
        <w:rFonts w:eastAsia="Calibri" w:cs="Times New Roman" w:hint="default"/>
        <w:b w:val="0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4016" w:hanging="1440"/>
      </w:pPr>
      <w:rPr>
        <w:rFonts w:eastAsia="Calibri" w:cs="Times New Roman" w:hint="default"/>
        <w:b w:val="0"/>
        <w:color w:val="auto"/>
      </w:rPr>
    </w:lvl>
  </w:abstractNum>
  <w:abstractNum w:abstractNumId="4">
    <w:nsid w:val="3DB4696A"/>
    <w:multiLevelType w:val="multilevel"/>
    <w:tmpl w:val="E6BC38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36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328" w:hanging="1440"/>
      </w:pPr>
      <w:rPr>
        <w:rFonts w:hint="default"/>
        <w:b w:val="0"/>
      </w:rPr>
    </w:lvl>
  </w:abstractNum>
  <w:abstractNum w:abstractNumId="5">
    <w:nsid w:val="4CD25EB5"/>
    <w:multiLevelType w:val="multilevel"/>
    <w:tmpl w:val="6CF214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4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932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57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86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144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3788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4072" w:hanging="1440"/>
      </w:pPr>
      <w:rPr>
        <w:rFonts w:hint="default"/>
        <w:b w:val="0"/>
      </w:rPr>
    </w:lvl>
  </w:abstractNum>
  <w:abstractNum w:abstractNumId="6">
    <w:nsid w:val="566103BB"/>
    <w:multiLevelType w:val="multilevel"/>
    <w:tmpl w:val="55B099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">
    <w:nsid w:val="5ABD5850"/>
    <w:multiLevelType w:val="multilevel"/>
    <w:tmpl w:val="7C1A90F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D026293"/>
    <w:multiLevelType w:val="multilevel"/>
    <w:tmpl w:val="68E69FE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  <w:rPr>
        <w:b w:val="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F603E6A"/>
    <w:multiLevelType w:val="multilevel"/>
    <w:tmpl w:val="82603E2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61E31207"/>
    <w:multiLevelType w:val="multilevel"/>
    <w:tmpl w:val="474A2D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Calibri" w:hAnsi="Calibri" w:cs="Calibri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62AC1F19"/>
    <w:multiLevelType w:val="hybridMultilevel"/>
    <w:tmpl w:val="BFF0EB5C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3C83D95"/>
    <w:multiLevelType w:val="multilevel"/>
    <w:tmpl w:val="9C7A72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13">
    <w:nsid w:val="6A993FF2"/>
    <w:multiLevelType w:val="multilevel"/>
    <w:tmpl w:val="EFB6E33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B5F4394"/>
    <w:multiLevelType w:val="multilevel"/>
    <w:tmpl w:val="937C8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D4B044C"/>
    <w:multiLevelType w:val="multilevel"/>
    <w:tmpl w:val="2760DF3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14"/>
  </w:num>
  <w:num w:numId="9">
    <w:abstractNumId w:val="12"/>
  </w:num>
  <w:num w:numId="10">
    <w:abstractNumId w:val="10"/>
  </w:num>
  <w:num w:numId="11">
    <w:abstractNumId w:val="8"/>
    <w:lvlOverride w:ilvl="0">
      <w:lvl w:ilvl="0">
        <w:numFmt w:val="decimal"/>
        <w:lvlText w:val="%1."/>
        <w:lvlJc w:val="left"/>
      </w:lvl>
    </w:lvlOverride>
  </w:num>
  <w:num w:numId="12">
    <w:abstractNumId w:val="13"/>
    <w:lvlOverride w:ilvl="0">
      <w:lvl w:ilvl="0">
        <w:numFmt w:val="decimal"/>
        <w:lvlText w:val="%1."/>
        <w:lvlJc w:val="left"/>
      </w:lvl>
    </w:lvlOverride>
  </w:num>
  <w:num w:numId="13">
    <w:abstractNumId w:val="15"/>
    <w:lvlOverride w:ilvl="0">
      <w:lvl w:ilvl="0">
        <w:numFmt w:val="decimal"/>
        <w:lvlText w:val="%1."/>
        <w:lvlJc w:val="left"/>
      </w:lvl>
    </w:lvlOverride>
  </w:num>
  <w:num w:numId="14">
    <w:abstractNumId w:val="0"/>
    <w:lvlOverride w:ilvl="0">
      <w:lvl w:ilvl="0">
        <w:numFmt w:val="decimal"/>
        <w:lvlText w:val="%1."/>
        <w:lvlJc w:val="left"/>
      </w:lvl>
    </w:lvlOverride>
  </w:num>
  <w:num w:numId="15">
    <w:abstractNumId w:val="7"/>
    <w:lvlOverride w:ilvl="0">
      <w:lvl w:ilvl="0">
        <w:numFmt w:val="decimal"/>
        <w:lvlText w:val="%1."/>
        <w:lvlJc w:val="left"/>
      </w:lvl>
    </w:lvlOverride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6B2"/>
    <w:rsid w:val="000C6B07"/>
    <w:rsid w:val="0014792D"/>
    <w:rsid w:val="001F54AF"/>
    <w:rsid w:val="0022229C"/>
    <w:rsid w:val="00444BCC"/>
    <w:rsid w:val="005E70C1"/>
    <w:rsid w:val="00BE54A8"/>
    <w:rsid w:val="00D64142"/>
    <w:rsid w:val="00F316B2"/>
    <w:rsid w:val="00F44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316B2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4488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,sw tekst,CW_Lista,zwykły tekst,List Paragraph1,BulletC,normalny tekst,Obiekt,Odstavec,Punktowanie,List Paragraph,Podsis rysunku,L1,Numerowanie,Normalny PDST,lp1,Preambuła,HŁ_Bullet1,Akapit z listą BS,Bullets,bez formatowania"/>
    <w:basedOn w:val="Normalny"/>
    <w:link w:val="AkapitzlistZnak"/>
    <w:uiPriority w:val="34"/>
    <w:qFormat/>
    <w:rsid w:val="00F316B2"/>
    <w:pPr>
      <w:ind w:left="720"/>
      <w:contextualSpacing/>
    </w:pPr>
  </w:style>
  <w:style w:type="character" w:customStyle="1" w:styleId="AkapitzlistZnak">
    <w:name w:val="Akapit z listą Znak"/>
    <w:aliases w:val="wypunktowanie Znak,sw tekst Znak,CW_Lista Znak,zwykły tekst Znak,List Paragraph1 Znak,BulletC Znak,normalny tekst Znak,Obiekt Znak,Odstavec Znak,Punktowanie Znak,List Paragraph Znak,Podsis rysunku Znak,L1 Znak,Numerowanie Znak"/>
    <w:link w:val="Akapitzlist"/>
    <w:uiPriority w:val="34"/>
    <w:qFormat/>
    <w:locked/>
    <w:rsid w:val="00F316B2"/>
    <w:rPr>
      <w:rFonts w:ascii="Times New Roman" w:eastAsia="Times New Roman" w:hAnsi="Times New Roman" w:cs="Times New Roman"/>
      <w:lang w:eastAsia="zh-CN"/>
    </w:rPr>
  </w:style>
  <w:style w:type="table" w:customStyle="1" w:styleId="Tabela-Siatka16">
    <w:name w:val="Tabela - Siatka16"/>
    <w:basedOn w:val="Standardowy"/>
    <w:next w:val="Tabela-Siatka"/>
    <w:uiPriority w:val="59"/>
    <w:unhideWhenUsed/>
    <w:rsid w:val="00F316B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F316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F4488D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316B2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4488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,sw tekst,CW_Lista,zwykły tekst,List Paragraph1,BulletC,normalny tekst,Obiekt,Odstavec,Punktowanie,List Paragraph,Podsis rysunku,L1,Numerowanie,Normalny PDST,lp1,Preambuła,HŁ_Bullet1,Akapit z listą BS,Bullets,bez formatowania"/>
    <w:basedOn w:val="Normalny"/>
    <w:link w:val="AkapitzlistZnak"/>
    <w:uiPriority w:val="34"/>
    <w:qFormat/>
    <w:rsid w:val="00F316B2"/>
    <w:pPr>
      <w:ind w:left="720"/>
      <w:contextualSpacing/>
    </w:pPr>
  </w:style>
  <w:style w:type="character" w:customStyle="1" w:styleId="AkapitzlistZnak">
    <w:name w:val="Akapit z listą Znak"/>
    <w:aliases w:val="wypunktowanie Znak,sw tekst Znak,CW_Lista Znak,zwykły tekst Znak,List Paragraph1 Znak,BulletC Znak,normalny tekst Znak,Obiekt Znak,Odstavec Znak,Punktowanie Znak,List Paragraph Znak,Podsis rysunku Znak,L1 Znak,Numerowanie Znak"/>
    <w:link w:val="Akapitzlist"/>
    <w:uiPriority w:val="34"/>
    <w:qFormat/>
    <w:locked/>
    <w:rsid w:val="00F316B2"/>
    <w:rPr>
      <w:rFonts w:ascii="Times New Roman" w:eastAsia="Times New Roman" w:hAnsi="Times New Roman" w:cs="Times New Roman"/>
      <w:lang w:eastAsia="zh-CN"/>
    </w:rPr>
  </w:style>
  <w:style w:type="table" w:customStyle="1" w:styleId="Tabela-Siatka16">
    <w:name w:val="Tabela - Siatka16"/>
    <w:basedOn w:val="Standardowy"/>
    <w:next w:val="Tabela-Siatka"/>
    <w:uiPriority w:val="59"/>
    <w:unhideWhenUsed/>
    <w:rsid w:val="00F316B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F316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F4488D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klep.pkn.pl/?a=show&amp;m=product&amp;pid=568376&amp;page=1" TargetMode="External"/><Relationship Id="rId13" Type="http://schemas.openxmlformats.org/officeDocument/2006/relationships/hyperlink" Target="https://sklep.pkn.pl/?a=show&amp;m=product&amp;pid=568886&amp;page=1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sklep.pkn.pl/?a=show&amp;m=product&amp;pid=568886&amp;page=1" TargetMode="External"/><Relationship Id="rId12" Type="http://schemas.openxmlformats.org/officeDocument/2006/relationships/hyperlink" Target="https://sklep.pkn.pl/?a=show&amp;m=product&amp;pid=568886&amp;page=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klep.pkn.pl/?a=show&amp;m=product&amp;pid=568886&amp;page=1" TargetMode="External"/><Relationship Id="rId11" Type="http://schemas.openxmlformats.org/officeDocument/2006/relationships/hyperlink" Target="https://sklep.pkn.pl/?a=show&amp;m=product&amp;pid=568376&amp;page=1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sklep.pkn.pl/?a=show&amp;m=product&amp;pid=568376&amp;page=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klep.pkn.pl/?a=show&amp;m=product&amp;pid=568376&amp;page=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2937</Words>
  <Characters>17625</Characters>
  <Application>Microsoft Office Word</Application>
  <DocSecurity>0</DocSecurity>
  <Lines>146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Sierek</dc:creator>
  <cp:lastModifiedBy>Natalia Szewczyk</cp:lastModifiedBy>
  <cp:revision>2</cp:revision>
  <dcterms:created xsi:type="dcterms:W3CDTF">2026-03-06T08:18:00Z</dcterms:created>
  <dcterms:modified xsi:type="dcterms:W3CDTF">2026-03-06T08:18:00Z</dcterms:modified>
</cp:coreProperties>
</file>